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B2" w:rsidRPr="00D379DE" w:rsidRDefault="004B5886" w:rsidP="004B5886">
      <w:pPr>
        <w:jc w:val="center"/>
        <w:rPr>
          <w:rFonts w:ascii="Times New Roman" w:hAnsi="Times New Roman" w:cs="Times New Roman"/>
          <w:b/>
          <w:u w:val="single"/>
        </w:rPr>
      </w:pPr>
      <w:proofErr w:type="spellStart"/>
      <w:r w:rsidRPr="00D379DE">
        <w:rPr>
          <w:rFonts w:ascii="Times New Roman" w:hAnsi="Times New Roman" w:cs="Times New Roman"/>
          <w:b/>
          <w:u w:val="single"/>
        </w:rPr>
        <w:t>NanoDrop</w:t>
      </w:r>
      <w:proofErr w:type="spellEnd"/>
      <w:r w:rsidRPr="00D379DE">
        <w:rPr>
          <w:rFonts w:ascii="Times New Roman" w:hAnsi="Times New Roman" w:cs="Times New Roman"/>
          <w:b/>
          <w:u w:val="single"/>
        </w:rPr>
        <w:t xml:space="preserve">™ </w:t>
      </w:r>
      <w:r w:rsidR="00AC7D54" w:rsidRPr="00D379DE">
        <w:rPr>
          <w:rFonts w:ascii="Times New Roman" w:hAnsi="Times New Roman" w:cs="Times New Roman"/>
          <w:b/>
          <w:u w:val="single"/>
        </w:rPr>
        <w:t xml:space="preserve">2000c </w:t>
      </w:r>
      <w:proofErr w:type="spellStart"/>
      <w:r w:rsidR="00AC7D54" w:rsidRPr="00D379DE">
        <w:rPr>
          <w:rFonts w:ascii="Times New Roman" w:hAnsi="Times New Roman" w:cs="Times New Roman"/>
          <w:b/>
          <w:u w:val="single"/>
        </w:rPr>
        <w:t>Spek</w:t>
      </w:r>
      <w:r w:rsidRPr="00D379DE">
        <w:rPr>
          <w:rFonts w:ascii="Times New Roman" w:hAnsi="Times New Roman" w:cs="Times New Roman"/>
          <w:b/>
          <w:u w:val="single"/>
        </w:rPr>
        <w:t>trophotometer</w:t>
      </w:r>
      <w:proofErr w:type="spellEnd"/>
      <w:r w:rsidRPr="00D379DE">
        <w:rPr>
          <w:rFonts w:ascii="Times New Roman" w:hAnsi="Times New Roman" w:cs="Times New Roman"/>
          <w:b/>
          <w:u w:val="single"/>
        </w:rPr>
        <w:t xml:space="preserve"> </w:t>
      </w:r>
      <w:r w:rsidR="00AC7D54" w:rsidRPr="00D379DE">
        <w:rPr>
          <w:rFonts w:ascii="Times New Roman" w:hAnsi="Times New Roman" w:cs="Times New Roman"/>
          <w:b/>
          <w:u w:val="single"/>
        </w:rPr>
        <w:t>Kurzanleitung</w:t>
      </w:r>
    </w:p>
    <w:p w:rsidR="003B2F0C" w:rsidRPr="00D379DE" w:rsidRDefault="003B2F0C" w:rsidP="004B5886">
      <w:pPr>
        <w:jc w:val="center"/>
        <w:rPr>
          <w:rFonts w:ascii="Times New Roman" w:hAnsi="Times New Roman" w:cs="Times New Roman"/>
          <w:b/>
          <w:u w:val="single"/>
        </w:rPr>
      </w:pPr>
    </w:p>
    <w:p w:rsidR="003B2F0C" w:rsidRPr="00D379DE" w:rsidRDefault="003B2F0C" w:rsidP="003B2F0C">
      <w:pPr>
        <w:pStyle w:val="Listenabsatz"/>
        <w:rPr>
          <w:rFonts w:ascii="Times New Roman" w:hAnsi="Times New Roman" w:cs="Times New Roman"/>
          <w:color w:val="8DB3E2" w:themeColor="text2" w:themeTint="66"/>
        </w:rPr>
      </w:pPr>
      <w:r w:rsidRPr="00D379DE">
        <w:rPr>
          <w:rFonts w:ascii="Times New Roman" w:hAnsi="Times New Roman" w:cs="Times New Roman"/>
          <w:color w:val="8DB3E2" w:themeColor="text2" w:themeTint="66"/>
          <w:u w:val="single"/>
        </w:rPr>
        <w:t>Mess</w:t>
      </w:r>
      <w:r w:rsidR="002037CA" w:rsidRPr="00D379DE">
        <w:rPr>
          <w:rFonts w:ascii="Times New Roman" w:hAnsi="Times New Roman" w:cs="Times New Roman"/>
          <w:color w:val="8DB3E2" w:themeColor="text2" w:themeTint="66"/>
          <w:u w:val="single"/>
        </w:rPr>
        <w:t>methoden</w:t>
      </w:r>
      <w:r w:rsidRPr="00D379DE">
        <w:rPr>
          <w:rFonts w:ascii="Times New Roman" w:hAnsi="Times New Roman" w:cs="Times New Roman"/>
          <w:color w:val="8DB3E2" w:themeColor="text2" w:themeTint="66"/>
          <w:u w:val="single"/>
        </w:rPr>
        <w:t>:</w:t>
      </w:r>
    </w:p>
    <w:p w:rsidR="003B2F0C" w:rsidRPr="00D379DE" w:rsidRDefault="003B2F0C" w:rsidP="003B2F0C">
      <w:pPr>
        <w:pStyle w:val="Listenabsatz"/>
        <w:rPr>
          <w:rFonts w:ascii="Times New Roman" w:hAnsi="Times New Roman" w:cs="Times New Roman"/>
          <w:color w:val="8DB3E2" w:themeColor="text2" w:themeTint="66"/>
        </w:rPr>
      </w:pPr>
    </w:p>
    <w:p w:rsidR="003B2F0C" w:rsidRPr="003B2F0C" w:rsidRDefault="00DF1EFF" w:rsidP="003B2F0C">
      <w:pPr>
        <w:pStyle w:val="Listenabsatz"/>
        <w:rPr>
          <w:rFonts w:ascii="Times New Roman" w:hAnsi="Times New Roman" w:cs="Times New Roman"/>
        </w:rPr>
      </w:pPr>
      <w:r w:rsidRPr="003B2F0C">
        <w:rPr>
          <w:rFonts w:ascii="Times New Roman" w:hAnsi="Times New Roman" w:cs="Times New Roman"/>
        </w:rPr>
        <w:t>Prinzipiell</w:t>
      </w:r>
      <w:r w:rsidR="003B2F0C" w:rsidRPr="003B2F0C">
        <w:rPr>
          <w:rFonts w:ascii="Times New Roman" w:hAnsi="Times New Roman" w:cs="Times New Roman"/>
        </w:rPr>
        <w:t xml:space="preserve"> verfügt das Instrument über zwei verschiedene Messmethoden. Die Probe wird entweder in einer Küvette analysiert oder direkt auf den Sockel des Inst</w:t>
      </w:r>
      <w:r w:rsidR="003B2F0C">
        <w:rPr>
          <w:rFonts w:ascii="Times New Roman" w:hAnsi="Times New Roman" w:cs="Times New Roman"/>
        </w:rPr>
        <w:t>r</w:t>
      </w:r>
      <w:r w:rsidR="003B2F0C" w:rsidRPr="003B2F0C">
        <w:rPr>
          <w:rFonts w:ascii="Times New Roman" w:hAnsi="Times New Roman" w:cs="Times New Roman"/>
        </w:rPr>
        <w:t>uments angetragen.</w:t>
      </w:r>
    </w:p>
    <w:p w:rsidR="003B2F0C" w:rsidRPr="003B2F0C" w:rsidRDefault="003B2F0C" w:rsidP="003B2F0C">
      <w:pPr>
        <w:pStyle w:val="Listenabsatz"/>
        <w:rPr>
          <w:rFonts w:ascii="Times New Roman" w:hAnsi="Times New Roman" w:cs="Times New Roman"/>
        </w:rPr>
      </w:pPr>
    </w:p>
    <w:p w:rsidR="003B2F0C" w:rsidRPr="003B2F0C" w:rsidRDefault="003B2F0C" w:rsidP="003B2F0C">
      <w:pPr>
        <w:pStyle w:val="Listenabsatz"/>
        <w:rPr>
          <w:rFonts w:ascii="Times New Roman" w:hAnsi="Times New Roman" w:cs="Times New Roman"/>
        </w:rPr>
      </w:pPr>
      <w:r w:rsidRPr="003B2F0C">
        <w:rPr>
          <w:rFonts w:ascii="Times New Roman" w:hAnsi="Times New Roman" w:cs="Times New Roman"/>
        </w:rPr>
        <w:t xml:space="preserve">Wird der Sockel für die Messung verwendet können sehr </w:t>
      </w:r>
      <w:r w:rsidRPr="003B2F0C">
        <w:rPr>
          <w:rFonts w:ascii="Times New Roman" w:hAnsi="Times New Roman" w:cs="Times New Roman"/>
          <w:u w:val="single"/>
        </w:rPr>
        <w:t>kleine Probenvolumina</w:t>
      </w:r>
      <w:r w:rsidRPr="003B2F0C">
        <w:rPr>
          <w:rFonts w:ascii="Times New Roman" w:hAnsi="Times New Roman" w:cs="Times New Roman"/>
        </w:rPr>
        <w:t xml:space="preserve"> untersucht werden (1-2 µl)</w:t>
      </w:r>
      <w:r w:rsidR="00D379DE">
        <w:rPr>
          <w:rFonts w:ascii="Times New Roman" w:hAnsi="Times New Roman"/>
        </w:rPr>
        <w:t>, wobei die Lösung eine Oberflächenspannung aufweisen muss, die stark genug ist um die Flüssigkeit zwischen den Faserenden zu halten</w:t>
      </w:r>
      <w:r w:rsidRPr="003B2F0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Diese Methode kann mit relativ hoch konzentrierten  Proben angewendet werden.</w:t>
      </w:r>
      <w:r w:rsidRPr="003B2F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Allerdings ist zu beachten, dass mit höheren Probenkonzentrationen auch größere </w:t>
      </w:r>
      <w:r w:rsidRPr="00DF1EFF">
        <w:rPr>
          <w:rFonts w:ascii="Times New Roman" w:hAnsi="Times New Roman" w:cs="Times New Roman"/>
          <w:u w:val="single"/>
        </w:rPr>
        <w:t>Messfehler</w:t>
      </w:r>
      <w:r>
        <w:rPr>
          <w:rFonts w:ascii="Times New Roman" w:hAnsi="Times New Roman" w:cs="Times New Roman"/>
        </w:rPr>
        <w:t xml:space="preserve"> zu erwarten sind. Das Instrument muss </w:t>
      </w:r>
      <w:r w:rsidR="00DF1EFF">
        <w:rPr>
          <w:rFonts w:ascii="Times New Roman" w:hAnsi="Times New Roman" w:cs="Times New Roman"/>
        </w:rPr>
        <w:t xml:space="preserve">außerdem </w:t>
      </w:r>
      <w:r>
        <w:rPr>
          <w:rFonts w:ascii="Times New Roman" w:hAnsi="Times New Roman" w:cs="Times New Roman"/>
        </w:rPr>
        <w:t xml:space="preserve">gründlich </w:t>
      </w:r>
      <w:r w:rsidRPr="00DF1EFF">
        <w:rPr>
          <w:rFonts w:ascii="Times New Roman" w:hAnsi="Times New Roman" w:cs="Times New Roman"/>
          <w:u w:val="single"/>
        </w:rPr>
        <w:t>gereinigt</w:t>
      </w:r>
      <w:r>
        <w:rPr>
          <w:rFonts w:ascii="Times New Roman" w:hAnsi="Times New Roman" w:cs="Times New Roman"/>
        </w:rPr>
        <w:t xml:space="preserve"> werden um Einflüsse durch getrocknete Proben aus anderen Messungen zu verhindern.</w:t>
      </w:r>
    </w:p>
    <w:p w:rsidR="003B2F0C" w:rsidRPr="003B2F0C" w:rsidRDefault="003B2F0C" w:rsidP="003B2F0C">
      <w:pPr>
        <w:pStyle w:val="Listenabsatz"/>
        <w:rPr>
          <w:rFonts w:ascii="Times New Roman" w:hAnsi="Times New Roman" w:cs="Times New Roman"/>
        </w:rPr>
      </w:pPr>
    </w:p>
    <w:p w:rsidR="003B2F0C" w:rsidRDefault="00DF1EFF" w:rsidP="003B2F0C">
      <w:pPr>
        <w:pStyle w:val="Listenabsatz"/>
        <w:rPr>
          <w:rFonts w:ascii="Times New Roman" w:hAnsi="Times New Roman" w:cs="Times New Roman"/>
        </w:rPr>
      </w:pPr>
      <w:r w:rsidRPr="00DF1EFF">
        <w:rPr>
          <w:rFonts w:ascii="Times New Roman" w:hAnsi="Times New Roman" w:cs="Times New Roman"/>
        </w:rPr>
        <w:t>Bei Verwendung von Küvetten werden generell größere Probenvolumina benötigt, da die Strahlhöhe bei 8.</w:t>
      </w:r>
      <w:r>
        <w:rPr>
          <w:rFonts w:ascii="Times New Roman" w:hAnsi="Times New Roman" w:cs="Times New Roman"/>
        </w:rPr>
        <w:t>5 mm liegt. In den meisten Fällen muss die Probe zudem verdünnt werden um kleinere Werte für die Absorption zu erreichen</w:t>
      </w:r>
      <w:r w:rsidR="003B2F0C" w:rsidRPr="00DF1EFF">
        <w:rPr>
          <w:rFonts w:ascii="Times New Roman" w:hAnsi="Times New Roman" w:cs="Times New Roman"/>
        </w:rPr>
        <w:t xml:space="preserve"> (≤ 2.0). </w:t>
      </w:r>
      <w:r>
        <w:rPr>
          <w:rFonts w:ascii="Times New Roman" w:hAnsi="Times New Roman" w:cs="Times New Roman"/>
        </w:rPr>
        <w:t>Da der Benutzer eigene Küvetten verwenden kann wird die Messung nicht durch getrocknete Proben aus anderen Messungen beeinflusst.</w:t>
      </w:r>
    </w:p>
    <w:p w:rsidR="00DF1EFF" w:rsidRDefault="00DF1EFF" w:rsidP="003B2F0C">
      <w:pPr>
        <w:pStyle w:val="Listenabsatz"/>
        <w:rPr>
          <w:rFonts w:ascii="Times New Roman" w:hAnsi="Times New Roman" w:cs="Times New Roman"/>
        </w:rPr>
      </w:pPr>
    </w:p>
    <w:p w:rsidR="00DF1EFF" w:rsidRDefault="00DF1EFF" w:rsidP="00DF1EFF">
      <w:pPr>
        <w:pStyle w:val="Listenabsatz"/>
        <w:rPr>
          <w:rFonts w:ascii="Times New Roman" w:hAnsi="Times New Roman" w:cs="Times New Roman"/>
          <w:color w:val="8DB3E2" w:themeColor="text2" w:themeTint="66"/>
          <w:u w:val="single"/>
        </w:rPr>
      </w:pPr>
      <w:r w:rsidRPr="00DF1EFF">
        <w:rPr>
          <w:rFonts w:ascii="Times New Roman" w:hAnsi="Times New Roman" w:cs="Times New Roman"/>
          <w:color w:val="8DB3E2" w:themeColor="text2" w:themeTint="66"/>
          <w:u w:val="single"/>
        </w:rPr>
        <w:t>Messungen am Sockel des Instruments:</w:t>
      </w:r>
    </w:p>
    <w:p w:rsidR="004B5886" w:rsidRPr="00DF1EFF" w:rsidRDefault="00C205EA" w:rsidP="00DF1EFF">
      <w:pPr>
        <w:pStyle w:val="Listenabsatz"/>
        <w:rPr>
          <w:rFonts w:ascii="Times New Roman" w:hAnsi="Times New Roman" w:cs="Times New Roman"/>
          <w:color w:val="8DB3E2" w:themeColor="text2" w:themeTint="66"/>
          <w:u w:val="single"/>
        </w:rPr>
      </w:pPr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3221355</wp:posOffset>
            </wp:positionH>
            <wp:positionV relativeFrom="paragraph">
              <wp:posOffset>298450</wp:posOffset>
            </wp:positionV>
            <wp:extent cx="2405380" cy="1661795"/>
            <wp:effectExtent l="0" t="0" r="0" b="0"/>
            <wp:wrapTight wrapText="bothSides">
              <wp:wrapPolygon edited="0">
                <wp:start x="0" y="0"/>
                <wp:lineTo x="0" y="21295"/>
                <wp:lineTo x="21383" y="21295"/>
                <wp:lineTo x="21383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stesfenster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38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886" w:rsidRPr="00AC7D54" w:rsidRDefault="00AC7D54" w:rsidP="004B5886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AC7D54">
        <w:rPr>
          <w:rFonts w:ascii="Times New Roman" w:hAnsi="Times New Roman" w:cs="Times New Roman"/>
        </w:rPr>
        <w:t xml:space="preserve">Versichern Sie sich vor dem Starten der </w:t>
      </w:r>
      <w:proofErr w:type="spellStart"/>
      <w:r w:rsidRPr="00AC7D54">
        <w:rPr>
          <w:rFonts w:ascii="Times New Roman" w:hAnsi="Times New Roman" w:cs="Times New Roman"/>
        </w:rPr>
        <w:t>N</w:t>
      </w:r>
      <w:r w:rsidR="004B5886" w:rsidRPr="00AC7D54">
        <w:rPr>
          <w:rFonts w:ascii="Times New Roman" w:hAnsi="Times New Roman" w:cs="Times New Roman"/>
        </w:rPr>
        <w:t>anoDrop</w:t>
      </w:r>
      <w:proofErr w:type="spellEnd"/>
      <w:r w:rsidR="004B5886" w:rsidRPr="00AC7D54">
        <w:rPr>
          <w:rFonts w:ascii="Times New Roman" w:hAnsi="Times New Roman" w:cs="Times New Roman"/>
        </w:rPr>
        <w:t xml:space="preserve">™ 2000 </w:t>
      </w:r>
      <w:r w:rsidRPr="00AC7D54">
        <w:rPr>
          <w:rFonts w:ascii="Times New Roman" w:hAnsi="Times New Roman" w:cs="Times New Roman"/>
        </w:rPr>
        <w:t xml:space="preserve">Software, dass der </w:t>
      </w:r>
      <w:proofErr w:type="spellStart"/>
      <w:r w:rsidRPr="00AC7D54">
        <w:rPr>
          <w:rFonts w:ascii="Times New Roman" w:hAnsi="Times New Roman" w:cs="Times New Roman"/>
        </w:rPr>
        <w:t>Küvetten</w:t>
      </w:r>
      <w:r w:rsidR="002037CA">
        <w:rPr>
          <w:rFonts w:ascii="Times New Roman" w:hAnsi="Times New Roman" w:cs="Times New Roman"/>
        </w:rPr>
        <w:t>schacht</w:t>
      </w:r>
      <w:proofErr w:type="spellEnd"/>
      <w:r w:rsidRPr="00AC7D54">
        <w:rPr>
          <w:rFonts w:ascii="Times New Roman" w:hAnsi="Times New Roman" w:cs="Times New Roman"/>
        </w:rPr>
        <w:t xml:space="preserve"> leer und der Probensockel sauber ist, da das Instrument während de</w:t>
      </w:r>
      <w:r w:rsidR="00A56342">
        <w:rPr>
          <w:rFonts w:ascii="Times New Roman" w:hAnsi="Times New Roman" w:cs="Times New Roman"/>
        </w:rPr>
        <w:t>s Startvorgangs eine UV Kalibrie</w:t>
      </w:r>
      <w:r w:rsidRPr="00AC7D54">
        <w:rPr>
          <w:rFonts w:ascii="Times New Roman" w:hAnsi="Times New Roman" w:cs="Times New Roman"/>
        </w:rPr>
        <w:t>rung durchführt.</w:t>
      </w:r>
    </w:p>
    <w:p w:rsidR="004B5886" w:rsidRPr="00AC7D54" w:rsidRDefault="004B5886" w:rsidP="004B5886">
      <w:pPr>
        <w:pStyle w:val="Listenabsatz"/>
        <w:rPr>
          <w:rFonts w:ascii="Times New Roman" w:hAnsi="Times New Roman" w:cs="Times New Roman"/>
        </w:rPr>
      </w:pPr>
    </w:p>
    <w:p w:rsidR="004B5886" w:rsidRPr="00AC7D54" w:rsidRDefault="00DF1EFF" w:rsidP="004B5886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4554220</wp:posOffset>
            </wp:positionH>
            <wp:positionV relativeFrom="paragraph">
              <wp:posOffset>683895</wp:posOffset>
            </wp:positionV>
            <wp:extent cx="107315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089" y="21250"/>
                <wp:lineTo x="2108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toreport.bmp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72" r="8390"/>
                    <a:stretch/>
                  </pic:blipFill>
                  <pic:spPr bwMode="auto">
                    <a:xfrm>
                      <a:off x="0" y="0"/>
                      <a:ext cx="1073150" cy="164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C7D54" w:rsidRPr="00AC7D54">
        <w:rPr>
          <w:rFonts w:ascii="Times New Roman" w:hAnsi="Times New Roman" w:cs="Times New Roman"/>
        </w:rPr>
        <w:t>Wählen</w:t>
      </w:r>
      <w:r w:rsidR="00AC7D54">
        <w:rPr>
          <w:rFonts w:ascii="Times New Roman" w:hAnsi="Times New Roman" w:cs="Times New Roman"/>
        </w:rPr>
        <w:t xml:space="preserve"> Sie nach dem Starten der Anwendung eine der g</w:t>
      </w:r>
      <w:r w:rsidR="00AC7D54" w:rsidRPr="00AC7D54">
        <w:rPr>
          <w:rFonts w:ascii="Times New Roman" w:hAnsi="Times New Roman" w:cs="Times New Roman"/>
        </w:rPr>
        <w:t xml:space="preserve">ewünschten Methoden aus und folgen Sie den Anweisungen </w:t>
      </w:r>
      <w:r w:rsidR="00D53DB0">
        <w:rPr>
          <w:rFonts w:ascii="Times New Roman" w:hAnsi="Times New Roman" w:cs="Times New Roman"/>
        </w:rPr>
        <w:t>während der</w:t>
      </w:r>
      <w:r w:rsidR="00AC7D54" w:rsidRPr="00AC7D54">
        <w:rPr>
          <w:rFonts w:ascii="Times New Roman" w:hAnsi="Times New Roman" w:cs="Times New Roman"/>
        </w:rPr>
        <w:t xml:space="preserve"> Initialisierung des Instruments.</w:t>
      </w:r>
    </w:p>
    <w:p w:rsidR="004B5886" w:rsidRPr="00AC7D54" w:rsidRDefault="004B5886" w:rsidP="004B5886">
      <w:pPr>
        <w:pStyle w:val="Listenabsatz"/>
        <w:rPr>
          <w:rFonts w:ascii="Times New Roman" w:hAnsi="Times New Roman" w:cs="Times New Roman"/>
        </w:rPr>
      </w:pPr>
    </w:p>
    <w:p w:rsidR="004B5886" w:rsidRPr="00AC7D54" w:rsidRDefault="00AC7D54" w:rsidP="004B5886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AC7D54">
        <w:rPr>
          <w:rFonts w:ascii="Times New Roman" w:hAnsi="Times New Roman" w:cs="Times New Roman"/>
        </w:rPr>
        <w:t>Vergewissern Sie sich, dass der Hacken</w:t>
      </w:r>
      <w:r w:rsidR="004B5886" w:rsidRPr="00AC7D54">
        <w:rPr>
          <w:rFonts w:ascii="Times New Roman" w:hAnsi="Times New Roman" w:cs="Times New Roman"/>
        </w:rPr>
        <w:t xml:space="preserve"> </w:t>
      </w:r>
      <w:r w:rsidR="0045106B">
        <w:rPr>
          <w:rFonts w:ascii="Times New Roman" w:hAnsi="Times New Roman" w:cs="Times New Roman"/>
        </w:rPr>
        <w:t>„</w:t>
      </w:r>
      <w:r w:rsidR="004B5886" w:rsidRPr="00AC7D54">
        <w:rPr>
          <w:rFonts w:ascii="Times New Roman" w:hAnsi="Times New Roman" w:cs="Times New Roman"/>
          <w:u w:val="single"/>
        </w:rPr>
        <w:t xml:space="preserve">Add </w:t>
      </w:r>
      <w:proofErr w:type="spellStart"/>
      <w:r w:rsidR="004B5886" w:rsidRPr="00AC7D54">
        <w:rPr>
          <w:rFonts w:ascii="Times New Roman" w:hAnsi="Times New Roman" w:cs="Times New Roman"/>
          <w:u w:val="single"/>
        </w:rPr>
        <w:t>to</w:t>
      </w:r>
      <w:proofErr w:type="spellEnd"/>
      <w:r w:rsidR="004B5886" w:rsidRPr="00AC7D54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4B5886" w:rsidRPr="00AC7D54">
        <w:rPr>
          <w:rFonts w:ascii="Times New Roman" w:hAnsi="Times New Roman" w:cs="Times New Roman"/>
          <w:u w:val="single"/>
        </w:rPr>
        <w:t>report</w:t>
      </w:r>
      <w:proofErr w:type="spellEnd"/>
      <w:r w:rsidR="0045106B">
        <w:rPr>
          <w:rFonts w:ascii="Times New Roman" w:hAnsi="Times New Roman" w:cs="Times New Roman"/>
          <w:u w:val="single"/>
        </w:rPr>
        <w:t>“</w:t>
      </w:r>
      <w:r w:rsidR="004B5886" w:rsidRPr="00AC7D54">
        <w:rPr>
          <w:rFonts w:ascii="Times New Roman" w:hAnsi="Times New Roman" w:cs="Times New Roman"/>
        </w:rPr>
        <w:t xml:space="preserve"> </w:t>
      </w:r>
      <w:r w:rsidRPr="00AC7D54">
        <w:rPr>
          <w:rFonts w:ascii="Times New Roman" w:hAnsi="Times New Roman" w:cs="Times New Roman"/>
        </w:rPr>
        <w:t xml:space="preserve">im oberen linken Bereich </w:t>
      </w:r>
      <w:r>
        <w:rPr>
          <w:rFonts w:ascii="Times New Roman" w:hAnsi="Times New Roman" w:cs="Times New Roman"/>
        </w:rPr>
        <w:t>ausgewählt ist, sodass ihre Messd</w:t>
      </w:r>
      <w:r w:rsidR="00000433">
        <w:rPr>
          <w:rFonts w:ascii="Times New Roman" w:hAnsi="Times New Roman" w:cs="Times New Roman"/>
        </w:rPr>
        <w:t>aten automatisch abgespeichert</w:t>
      </w:r>
      <w:r>
        <w:rPr>
          <w:rFonts w:ascii="Times New Roman" w:hAnsi="Times New Roman" w:cs="Times New Roman"/>
        </w:rPr>
        <w:t xml:space="preserve"> und in den Report eingebunden werden.</w:t>
      </w:r>
      <w:r w:rsidR="00E53307" w:rsidRPr="00AC7D54">
        <w:rPr>
          <w:rFonts w:ascii="Times New Roman" w:hAnsi="Times New Roman" w:cs="Times New Roman"/>
          <w:noProof/>
          <w:lang w:eastAsia="de-DE"/>
        </w:rPr>
        <w:t xml:space="preserve"> </w:t>
      </w:r>
    </w:p>
    <w:p w:rsidR="004B5886" w:rsidRPr="00AC7D54" w:rsidRDefault="004B5886" w:rsidP="004B5886">
      <w:pPr>
        <w:pStyle w:val="Listenabsatz"/>
        <w:rPr>
          <w:rFonts w:ascii="Times New Roman" w:hAnsi="Times New Roman" w:cs="Times New Roman"/>
        </w:rPr>
      </w:pPr>
    </w:p>
    <w:p w:rsidR="00DF1EFF" w:rsidRDefault="003C6D13" w:rsidP="00DF1EFF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Erstellen Sie eine</w:t>
      </w:r>
      <w:r w:rsidR="00DF1EFF">
        <w:rPr>
          <w:rFonts w:ascii="Times New Roman" w:hAnsi="Times New Roman" w:cs="Times New Roman"/>
        </w:rPr>
        <w:t xml:space="preserve"> Referenz</w:t>
      </w:r>
      <w:r>
        <w:rPr>
          <w:rFonts w:ascii="Times New Roman" w:hAnsi="Times New Roman" w:cs="Times New Roman"/>
        </w:rPr>
        <w:t>messung</w:t>
      </w:r>
      <w:r w:rsidR="00AC7D54" w:rsidRPr="00DF1E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(Blank) mit dem geeigneten</w:t>
      </w:r>
      <w:r w:rsidR="00AC7D54" w:rsidRPr="00DF1EFF">
        <w:rPr>
          <w:rFonts w:ascii="Times New Roman" w:hAnsi="Times New Roman" w:cs="Times New Roman"/>
        </w:rPr>
        <w:t xml:space="preserve"> Puffer</w:t>
      </w:r>
      <w:r w:rsidR="00DF1EFF">
        <w:rPr>
          <w:rFonts w:ascii="Times New Roman" w:hAnsi="Times New Roman" w:cs="Times New Roman"/>
        </w:rPr>
        <w:t xml:space="preserve">. </w:t>
      </w:r>
      <w:r w:rsidR="00DF1EFF" w:rsidRPr="00000433">
        <w:rPr>
          <w:rFonts w:ascii="Times New Roman" w:hAnsi="Times New Roman" w:cs="Times New Roman"/>
        </w:rPr>
        <w:t>Als „Blank”-Lösung wird allgemein der Puffer bezeichnet, in dem das zu untersuchende Molekül gelöst bzw.</w:t>
      </w:r>
      <w:r w:rsidR="00DF1EFF">
        <w:rPr>
          <w:rFonts w:ascii="Times New Roman" w:hAnsi="Times New Roman" w:cs="Times New Roman"/>
        </w:rPr>
        <w:t xml:space="preserve"> verdünnt ist.</w:t>
      </w:r>
    </w:p>
    <w:p w:rsidR="00DF1EFF" w:rsidRPr="00DF1EFF" w:rsidRDefault="00DF1EFF" w:rsidP="00DF1EFF">
      <w:pPr>
        <w:pStyle w:val="Listenabsatz"/>
        <w:rPr>
          <w:rFonts w:ascii="Times New Roman" w:hAnsi="Times New Roman" w:cs="Times New Roman"/>
        </w:rPr>
      </w:pPr>
    </w:p>
    <w:p w:rsidR="003C6D13" w:rsidRDefault="00DF1EFF" w:rsidP="003C6D13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00433" w:rsidRPr="00DF1EFF">
        <w:rPr>
          <w:rFonts w:ascii="Times New Roman" w:hAnsi="Times New Roman" w:cs="Times New Roman"/>
        </w:rPr>
        <w:t>ragen</w:t>
      </w:r>
      <w:r w:rsidR="00AC7D54" w:rsidRPr="00DF1EFF">
        <w:rPr>
          <w:rFonts w:ascii="Times New Roman" w:hAnsi="Times New Roman" w:cs="Times New Roman"/>
        </w:rPr>
        <w:t xml:space="preserve"> Si</w:t>
      </w:r>
      <w:r w:rsidR="00000433" w:rsidRPr="00DF1EFF">
        <w:rPr>
          <w:rFonts w:ascii="Times New Roman" w:hAnsi="Times New Roman" w:cs="Times New Roman"/>
        </w:rPr>
        <w:t xml:space="preserve">e </w:t>
      </w:r>
      <w:r w:rsidR="00AC7D54" w:rsidRPr="00DF1EFF">
        <w:rPr>
          <w:rFonts w:ascii="Times New Roman" w:hAnsi="Times New Roman" w:cs="Times New Roman"/>
        </w:rPr>
        <w:t>mit der Pipette ca.</w:t>
      </w:r>
      <w:r w:rsidR="004B5886" w:rsidRPr="00DF1EFF">
        <w:rPr>
          <w:rFonts w:ascii="Times New Roman" w:hAnsi="Times New Roman" w:cs="Times New Roman"/>
        </w:rPr>
        <w:t xml:space="preserve"> 1-2 </w:t>
      </w:r>
      <w:r w:rsidR="00AC7D54" w:rsidRPr="00DF1EFF">
        <w:rPr>
          <w:rFonts w:ascii="Times New Roman" w:hAnsi="Times New Roman" w:cs="Times New Roman"/>
        </w:rPr>
        <w:t>µ</w:t>
      </w:r>
      <w:r w:rsidR="004B5886" w:rsidRPr="00DF1EFF">
        <w:rPr>
          <w:rFonts w:ascii="Times New Roman" w:hAnsi="Times New Roman" w:cs="Times New Roman"/>
        </w:rPr>
        <w:t xml:space="preserve">l </w:t>
      </w:r>
      <w:r>
        <w:rPr>
          <w:rFonts w:ascii="Times New Roman" w:hAnsi="Times New Roman" w:cs="Times New Roman"/>
        </w:rPr>
        <w:t>der Pufferlösung</w:t>
      </w:r>
      <w:r w:rsidR="00000433" w:rsidRPr="00DF1EFF">
        <w:rPr>
          <w:rFonts w:ascii="Times New Roman" w:hAnsi="Times New Roman" w:cs="Times New Roman"/>
        </w:rPr>
        <w:t xml:space="preserve"> auf den Probensockel an. Anschließend wird der Hebel gesenkt und der</w:t>
      </w:r>
      <w:r w:rsidR="004B5886" w:rsidRPr="00DF1EFF">
        <w:rPr>
          <w:rFonts w:ascii="Times New Roman" w:hAnsi="Times New Roman" w:cs="Times New Roman"/>
        </w:rPr>
        <w:t xml:space="preserve"> </w:t>
      </w:r>
      <w:r w:rsidR="00000433" w:rsidRPr="00DF1EFF">
        <w:rPr>
          <w:rFonts w:ascii="Times New Roman" w:hAnsi="Times New Roman" w:cs="Times New Roman"/>
        </w:rPr>
        <w:t>„</w:t>
      </w:r>
      <w:r w:rsidR="004B5886" w:rsidRPr="00DF1EFF">
        <w:rPr>
          <w:rFonts w:ascii="Times New Roman" w:hAnsi="Times New Roman" w:cs="Times New Roman"/>
        </w:rPr>
        <w:t>Blank</w:t>
      </w:r>
      <w:r w:rsidR="00000433" w:rsidRPr="00DF1EFF">
        <w:rPr>
          <w:rFonts w:ascii="Times New Roman" w:hAnsi="Times New Roman" w:cs="Times New Roman"/>
        </w:rPr>
        <w:t>“ Knopf gedrückt</w:t>
      </w:r>
      <w:r w:rsidR="003C6D13">
        <w:rPr>
          <w:rFonts w:ascii="Times New Roman" w:hAnsi="Times New Roman" w:cs="Times New Roman"/>
        </w:rPr>
        <w:t>.</w:t>
      </w:r>
      <w:r w:rsidR="003C6D13" w:rsidRPr="003C6D13">
        <w:rPr>
          <w:rFonts w:ascii="Times New Roman" w:hAnsi="Times New Roman" w:cs="Times New Roman"/>
        </w:rPr>
        <w:t xml:space="preserve"> </w:t>
      </w:r>
    </w:p>
    <w:p w:rsidR="003C6D13" w:rsidRPr="003C6D13" w:rsidRDefault="003C6D13" w:rsidP="003C6D13">
      <w:pPr>
        <w:pStyle w:val="Listenabsatz"/>
        <w:rPr>
          <w:rFonts w:ascii="Times New Roman" w:hAnsi="Times New Roman" w:cs="Times New Roman"/>
        </w:rPr>
      </w:pPr>
    </w:p>
    <w:p w:rsidR="003C6D13" w:rsidRPr="003C6D13" w:rsidRDefault="003C6D13" w:rsidP="003C6D13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D53DB0">
        <w:rPr>
          <w:rFonts w:ascii="Times New Roman" w:hAnsi="Times New Roman" w:cs="Times New Roman"/>
        </w:rPr>
        <w:lastRenderedPageBreak/>
        <w:t>Entferne</w:t>
      </w:r>
      <w:r>
        <w:rPr>
          <w:rFonts w:ascii="Times New Roman" w:hAnsi="Times New Roman" w:cs="Times New Roman"/>
        </w:rPr>
        <w:t xml:space="preserve">n Sie </w:t>
      </w:r>
      <w:r w:rsidRPr="00D53DB0">
        <w:rPr>
          <w:rFonts w:ascii="Times New Roman" w:hAnsi="Times New Roman" w:cs="Times New Roman"/>
        </w:rPr>
        <w:t>die Pufferlösung und geben Sie die Probenbezeichnung in das dafür vorgesehene Feld ein.</w:t>
      </w:r>
      <w:r>
        <w:rPr>
          <w:rFonts w:ascii="Times New Roman" w:hAnsi="Times New Roman" w:cs="Times New Roman"/>
        </w:rPr>
        <w:t xml:space="preserve"> Anschließend f</w:t>
      </w:r>
      <w:r w:rsidRPr="00321C88">
        <w:rPr>
          <w:rFonts w:ascii="Times New Roman" w:hAnsi="Times New Roman" w:cs="Times New Roman"/>
        </w:rPr>
        <w:t>ügen Sie 1-2 µl der Probe auf und betätigen</w:t>
      </w:r>
      <w:r>
        <w:rPr>
          <w:rFonts w:ascii="Times New Roman" w:hAnsi="Times New Roman" w:cs="Times New Roman"/>
        </w:rPr>
        <w:t xml:space="preserve"> den</w:t>
      </w:r>
      <w:r w:rsidRPr="00321C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proofErr w:type="spellStart"/>
      <w:r w:rsidRPr="00321C88">
        <w:rPr>
          <w:rFonts w:ascii="Times New Roman" w:hAnsi="Times New Roman" w:cs="Times New Roman"/>
        </w:rPr>
        <w:t>Measure</w:t>
      </w:r>
      <w:proofErr w:type="spellEnd"/>
      <w:r>
        <w:rPr>
          <w:rFonts w:ascii="Times New Roman" w:hAnsi="Times New Roman" w:cs="Times New Roman"/>
        </w:rPr>
        <w:t>“</w:t>
      </w:r>
      <w:r w:rsidRPr="00321C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Knopf.</w:t>
      </w:r>
    </w:p>
    <w:p w:rsidR="003C6D13" w:rsidRPr="003C6D13" w:rsidRDefault="003C6D13" w:rsidP="003C6D13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321C88">
        <w:rPr>
          <w:rFonts w:ascii="Times New Roman" w:hAnsi="Times New Roman" w:cs="Times New Roman"/>
        </w:rPr>
        <w:t>Es wird emp</w:t>
      </w:r>
      <w:r>
        <w:rPr>
          <w:rFonts w:ascii="Times New Roman" w:hAnsi="Times New Roman" w:cs="Times New Roman"/>
        </w:rPr>
        <w:t>f</w:t>
      </w:r>
      <w:r w:rsidRPr="00321C88">
        <w:rPr>
          <w:rFonts w:ascii="Times New Roman" w:hAnsi="Times New Roman" w:cs="Times New Roman"/>
        </w:rPr>
        <w:t>ohlen für jede Messung eine frische Probe zu verwenden.</w:t>
      </w:r>
    </w:p>
    <w:p w:rsidR="003C6D13" w:rsidRDefault="003C6D13" w:rsidP="003C6D13">
      <w:pPr>
        <w:jc w:val="center"/>
        <w:rPr>
          <w:rFonts w:ascii="Times New Roman" w:hAnsi="Times New Roman" w:cs="Times New Roman"/>
        </w:rPr>
      </w:pPr>
      <w:r w:rsidRPr="00D53DB0">
        <w:rPr>
          <w:rFonts w:ascii="Times New Roman" w:hAnsi="Times New Roman" w:cs="Times New Roman"/>
          <w:color w:val="FF0000"/>
          <w:u w:val="single"/>
        </w:rPr>
        <w:t>Tipp:</w:t>
      </w:r>
      <w:r w:rsidRPr="00D53DB0">
        <w:rPr>
          <w:rFonts w:ascii="Times New Roman" w:hAnsi="Times New Roman" w:cs="Times New Roman"/>
          <w:color w:val="FF0000"/>
        </w:rPr>
        <w:t xml:space="preserve"> </w:t>
      </w:r>
      <w:r w:rsidRPr="00D53DB0">
        <w:rPr>
          <w:rFonts w:ascii="Times New Roman" w:hAnsi="Times New Roman" w:cs="Times New Roman"/>
        </w:rPr>
        <w:t>Wählen Sie die Option</w:t>
      </w:r>
      <w:r w:rsidRPr="00D53DB0">
        <w:t xml:space="preserve"> “</w:t>
      </w:r>
      <w:proofErr w:type="spellStart"/>
      <w:r w:rsidRPr="00D53DB0">
        <w:rPr>
          <w:rFonts w:ascii="Times New Roman" w:hAnsi="Times New Roman" w:cs="Times New Roman"/>
          <w:u w:val="single"/>
        </w:rPr>
        <w:t>Overlay</w:t>
      </w:r>
      <w:proofErr w:type="spellEnd"/>
      <w:r w:rsidRPr="00D53DB0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53DB0">
        <w:rPr>
          <w:rFonts w:ascii="Times New Roman" w:hAnsi="Times New Roman" w:cs="Times New Roman"/>
          <w:u w:val="single"/>
        </w:rPr>
        <w:t>spectra</w:t>
      </w:r>
      <w:proofErr w:type="spellEnd"/>
      <w:r w:rsidRPr="00D53DB0">
        <w:rPr>
          <w:rFonts w:ascii="Times New Roman" w:hAnsi="Times New Roman" w:cs="Times New Roman"/>
          <w:u w:val="single"/>
        </w:rPr>
        <w:t>”</w:t>
      </w:r>
      <w:r w:rsidRPr="00D53DB0">
        <w:rPr>
          <w:rFonts w:ascii="Times New Roman" w:hAnsi="Times New Roman" w:cs="Times New Roman"/>
        </w:rPr>
        <w:t xml:space="preserve"> im oberen linken Bereich aus um mehrere Spektren g</w:t>
      </w:r>
      <w:r>
        <w:rPr>
          <w:rFonts w:ascii="Times New Roman" w:hAnsi="Times New Roman" w:cs="Times New Roman"/>
        </w:rPr>
        <w:t>leichzeitig anzeigen zu lassen und Messungen derselben Probe vergleichen zu können</w:t>
      </w:r>
      <w:r w:rsidRPr="00D53DB0">
        <w:rPr>
          <w:rFonts w:ascii="Times New Roman" w:hAnsi="Times New Roman" w:cs="Times New Roman"/>
        </w:rPr>
        <w:t>.</w:t>
      </w:r>
    </w:p>
    <w:p w:rsidR="003C6D13" w:rsidRPr="003C6D13" w:rsidRDefault="003C6D13" w:rsidP="003C6D13">
      <w:pPr>
        <w:jc w:val="center"/>
        <w:rPr>
          <w:rFonts w:ascii="Times New Roman" w:hAnsi="Times New Roman" w:cs="Times New Roman"/>
        </w:rPr>
      </w:pPr>
    </w:p>
    <w:p w:rsidR="003C6D13" w:rsidRDefault="003C6D13" w:rsidP="003C6D13">
      <w:pPr>
        <w:pStyle w:val="Listenabsatz"/>
        <w:rPr>
          <w:rFonts w:ascii="Times New Roman" w:hAnsi="Times New Roman" w:cs="Times New Roman"/>
          <w:color w:val="8DB3E2" w:themeColor="text2" w:themeTint="66"/>
          <w:u w:val="single"/>
        </w:rPr>
      </w:pPr>
      <w:r w:rsidRPr="00DF1EFF">
        <w:rPr>
          <w:rFonts w:ascii="Times New Roman" w:hAnsi="Times New Roman" w:cs="Times New Roman"/>
          <w:color w:val="8DB3E2" w:themeColor="text2" w:themeTint="66"/>
          <w:u w:val="single"/>
        </w:rPr>
        <w:t xml:space="preserve">Messungen </w:t>
      </w:r>
      <w:r>
        <w:rPr>
          <w:rFonts w:ascii="Times New Roman" w:hAnsi="Times New Roman" w:cs="Times New Roman"/>
          <w:color w:val="8DB3E2" w:themeColor="text2" w:themeTint="66"/>
          <w:u w:val="single"/>
        </w:rPr>
        <w:t>unter Verwendung von Küvetten</w:t>
      </w:r>
      <w:r w:rsidRPr="00DF1EFF">
        <w:rPr>
          <w:rFonts w:ascii="Times New Roman" w:hAnsi="Times New Roman" w:cs="Times New Roman"/>
          <w:color w:val="8DB3E2" w:themeColor="text2" w:themeTint="66"/>
          <w:u w:val="single"/>
        </w:rPr>
        <w:t>:</w:t>
      </w:r>
    </w:p>
    <w:p w:rsidR="004B5886" w:rsidRDefault="004B5886" w:rsidP="003C6D13">
      <w:pPr>
        <w:pStyle w:val="Listenabsatz"/>
        <w:rPr>
          <w:rFonts w:ascii="Times New Roman" w:hAnsi="Times New Roman" w:cs="Times New Roman"/>
        </w:rPr>
      </w:pPr>
    </w:p>
    <w:p w:rsidR="003C6D13" w:rsidRDefault="003C6D13" w:rsidP="003C6D13">
      <w:pPr>
        <w:pStyle w:val="Listenabsat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Folgen Sie den Schritten 1-4 für die Messungen am Sockel des Instruments.</w:t>
      </w:r>
    </w:p>
    <w:p w:rsidR="003C6D13" w:rsidRPr="003C6D13" w:rsidRDefault="003C6D13" w:rsidP="003C6D13">
      <w:pPr>
        <w:pStyle w:val="Listenabsat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48895</wp:posOffset>
            </wp:positionV>
            <wp:extent cx="1025525" cy="1645920"/>
            <wp:effectExtent l="0" t="0" r="3175" b="0"/>
            <wp:wrapTight wrapText="bothSides">
              <wp:wrapPolygon edited="0">
                <wp:start x="0" y="0"/>
                <wp:lineTo x="0" y="21250"/>
                <wp:lineTo x="21266" y="21250"/>
                <wp:lineTo x="2126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toreport.b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45"/>
                    <a:stretch/>
                  </pic:blipFill>
                  <pic:spPr bwMode="auto">
                    <a:xfrm>
                      <a:off x="0" y="0"/>
                      <a:ext cx="1025525" cy="164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B5886" w:rsidRPr="00663196" w:rsidRDefault="00663196" w:rsidP="003C6D13">
      <w:pPr>
        <w:pStyle w:val="Listenabsatz"/>
        <w:numPr>
          <w:ilvl w:val="0"/>
          <w:numId w:val="10"/>
        </w:numPr>
        <w:rPr>
          <w:rFonts w:ascii="Times New Roman" w:hAnsi="Times New Roman" w:cs="Times New Roman"/>
        </w:rPr>
      </w:pPr>
      <w:r w:rsidRPr="00663196">
        <w:rPr>
          <w:rFonts w:ascii="Times New Roman" w:hAnsi="Times New Roman" w:cs="Times New Roman"/>
        </w:rPr>
        <w:t>Wählen Sie “</w:t>
      </w:r>
      <w:proofErr w:type="spellStart"/>
      <w:r w:rsidR="004B5886" w:rsidRPr="00663196">
        <w:rPr>
          <w:rFonts w:ascii="Times New Roman" w:hAnsi="Times New Roman" w:cs="Times New Roman"/>
        </w:rPr>
        <w:t>Use</w:t>
      </w:r>
      <w:proofErr w:type="spellEnd"/>
      <w:r w:rsidR="004B5886" w:rsidRPr="00663196">
        <w:rPr>
          <w:rFonts w:ascii="Times New Roman" w:hAnsi="Times New Roman" w:cs="Times New Roman"/>
        </w:rPr>
        <w:t xml:space="preserve"> </w:t>
      </w:r>
      <w:proofErr w:type="spellStart"/>
      <w:r w:rsidR="004B5886" w:rsidRPr="00663196">
        <w:rPr>
          <w:rFonts w:ascii="Times New Roman" w:hAnsi="Times New Roman" w:cs="Times New Roman"/>
        </w:rPr>
        <w:t>cuvette</w:t>
      </w:r>
      <w:proofErr w:type="spellEnd"/>
      <w:r w:rsidRPr="00663196">
        <w:rPr>
          <w:rFonts w:ascii="Times New Roman" w:hAnsi="Times New Roman" w:cs="Times New Roman"/>
        </w:rPr>
        <w:t>” aus um mit einer Küvette zu messen</w:t>
      </w:r>
    </w:p>
    <w:p w:rsidR="004B5886" w:rsidRPr="00663196" w:rsidRDefault="00663196" w:rsidP="003C6D13">
      <w:pPr>
        <w:pStyle w:val="Listenabsatz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Geben</w:t>
      </w:r>
      <w:r w:rsidRPr="00663196">
        <w:rPr>
          <w:rFonts w:ascii="Times New Roman" w:hAnsi="Times New Roman" w:cs="Times New Roman"/>
        </w:rPr>
        <w:t xml:space="preserve"> Sie die </w:t>
      </w:r>
      <w:proofErr w:type="spellStart"/>
      <w:r>
        <w:rPr>
          <w:rFonts w:ascii="Times New Roman" w:hAnsi="Times New Roman" w:cs="Times New Roman"/>
        </w:rPr>
        <w:t>Küvettengröße</w:t>
      </w:r>
      <w:proofErr w:type="spellEnd"/>
      <w:r>
        <w:rPr>
          <w:rFonts w:ascii="Times New Roman" w:hAnsi="Times New Roman" w:cs="Times New Roman"/>
        </w:rPr>
        <w:t xml:space="preserve"> an</w:t>
      </w:r>
      <w:r w:rsidRPr="0066319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die Sie verwenden möchten</w:t>
      </w:r>
    </w:p>
    <w:p w:rsidR="004B5886" w:rsidRPr="00663196" w:rsidRDefault="00663196" w:rsidP="003C6D13">
      <w:pPr>
        <w:pStyle w:val="Listenabsatz"/>
        <w:numPr>
          <w:ilvl w:val="0"/>
          <w:numId w:val="10"/>
        </w:numPr>
        <w:rPr>
          <w:rFonts w:ascii="Times New Roman" w:hAnsi="Times New Roman" w:cs="Times New Roman"/>
        </w:rPr>
      </w:pPr>
      <w:r w:rsidRPr="00663196">
        <w:rPr>
          <w:rFonts w:ascii="Times New Roman" w:hAnsi="Times New Roman" w:cs="Times New Roman"/>
        </w:rPr>
        <w:t>Legen Sie die Küvette in Stahlrichtung</w:t>
      </w:r>
      <w:r w:rsidR="00D53DB0">
        <w:rPr>
          <w:rFonts w:ascii="Times New Roman" w:hAnsi="Times New Roman" w:cs="Times New Roman"/>
        </w:rPr>
        <w:t xml:space="preserve"> ein</w:t>
      </w:r>
      <w:r w:rsidRPr="00663196">
        <w:rPr>
          <w:rFonts w:ascii="Times New Roman" w:hAnsi="Times New Roman" w:cs="Times New Roman"/>
        </w:rPr>
        <w:t>,</w:t>
      </w:r>
      <w:r w:rsidR="00D53DB0">
        <w:rPr>
          <w:rFonts w:ascii="Times New Roman" w:hAnsi="Times New Roman" w:cs="Times New Roman"/>
        </w:rPr>
        <w:t xml:space="preserve"> diese wird</w:t>
      </w:r>
      <w:r w:rsidRPr="00663196">
        <w:rPr>
          <w:rFonts w:ascii="Times New Roman" w:hAnsi="Times New Roman" w:cs="Times New Roman"/>
        </w:rPr>
        <w:t xml:space="preserve"> durch einen </w:t>
      </w:r>
      <w:r w:rsidR="00D53DB0">
        <w:rPr>
          <w:rFonts w:ascii="Times New Roman" w:hAnsi="Times New Roman" w:cs="Times New Roman"/>
        </w:rPr>
        <w:br/>
        <w:t xml:space="preserve">             </w:t>
      </w:r>
      <w:r w:rsidRPr="00663196">
        <w:rPr>
          <w:rFonts w:ascii="Times New Roman" w:hAnsi="Times New Roman" w:cs="Times New Roman"/>
        </w:rPr>
        <w:t xml:space="preserve">Pfeil </w:t>
      </w:r>
      <w:r w:rsidR="00D53DB0">
        <w:rPr>
          <w:rFonts w:ascii="Times New Roman" w:hAnsi="Times New Roman" w:cs="Times New Roman"/>
        </w:rPr>
        <w:t>angegeben</w:t>
      </w:r>
    </w:p>
    <w:p w:rsidR="004B5886" w:rsidRPr="00663196" w:rsidRDefault="00663196" w:rsidP="003C6D13">
      <w:pPr>
        <w:pStyle w:val="Listenabsatz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Hebel muss für alle Messungen geschlossen sein</w:t>
      </w:r>
    </w:p>
    <w:p w:rsidR="001B5134" w:rsidRPr="00D53DB0" w:rsidRDefault="00D53DB0" w:rsidP="003C6D13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D53DB0">
        <w:rPr>
          <w:rFonts w:ascii="Times New Roman" w:hAnsi="Times New Roman" w:cs="Times New Roman"/>
        </w:rPr>
        <w:t xml:space="preserve">Der optische Pfad liegt </w:t>
      </w:r>
      <w:r w:rsidR="004B5886" w:rsidRPr="00D53DB0">
        <w:rPr>
          <w:rFonts w:ascii="Times New Roman" w:hAnsi="Times New Roman" w:cs="Times New Roman"/>
        </w:rPr>
        <w:t xml:space="preserve">8.5 mm </w:t>
      </w:r>
      <w:r w:rsidRPr="00D53DB0">
        <w:rPr>
          <w:rFonts w:ascii="Times New Roman" w:hAnsi="Times New Roman" w:cs="Times New Roman"/>
        </w:rPr>
        <w:t>über dem Boden der Küvette</w:t>
      </w:r>
      <w:r w:rsidR="004B5886" w:rsidRPr="00D53DB0">
        <w:rPr>
          <w:rFonts w:ascii="Times New Roman" w:hAnsi="Times New Roman" w:cs="Times New Roman"/>
        </w:rPr>
        <w:t>.</w:t>
      </w:r>
      <w:r w:rsidR="001B5134" w:rsidRPr="00D53DB0">
        <w:rPr>
          <w:rFonts w:ascii="Times New Roman" w:hAnsi="Times New Roman" w:cs="Times New Roman"/>
        </w:rPr>
        <w:t xml:space="preserve"> </w:t>
      </w:r>
      <w:r w:rsidR="00C205EA" w:rsidRPr="00D53DB0">
        <w:rPr>
          <w:rFonts w:ascii="Times New Roman" w:hAnsi="Times New Roman" w:cs="Times New Roman"/>
        </w:rPr>
        <w:br/>
        <w:t xml:space="preserve">             </w:t>
      </w:r>
      <w:r>
        <w:rPr>
          <w:rFonts w:ascii="Times New Roman" w:hAnsi="Times New Roman" w:cs="Times New Roman"/>
        </w:rPr>
        <w:t xml:space="preserve">Überprüfen Sie die Herstellerangabe bezüglich des </w:t>
      </w:r>
      <w:proofErr w:type="spellStart"/>
      <w:r>
        <w:rPr>
          <w:rFonts w:ascii="Times New Roman" w:hAnsi="Times New Roman" w:cs="Times New Roman"/>
        </w:rPr>
        <w:t>Küvettenvolumens</w:t>
      </w:r>
      <w:proofErr w:type="spellEnd"/>
    </w:p>
    <w:p w:rsidR="00D53DB0" w:rsidRPr="00C205EA" w:rsidRDefault="00D53DB0" w:rsidP="00D53DB0">
      <w:pPr>
        <w:pStyle w:val="Listenabsatz"/>
        <w:rPr>
          <w:rFonts w:ascii="Times New Roman" w:hAnsi="Times New Roman" w:cs="Times New Roman"/>
          <w:lang w:val="en-US"/>
        </w:rPr>
      </w:pPr>
    </w:p>
    <w:p w:rsidR="002C314C" w:rsidRPr="00D53DB0" w:rsidRDefault="00D53DB0" w:rsidP="002C314C">
      <w:pPr>
        <w:jc w:val="center"/>
        <w:rPr>
          <w:rFonts w:ascii="Times New Roman" w:hAnsi="Times New Roman" w:cs="Times New Roman"/>
        </w:rPr>
      </w:pPr>
      <w:r w:rsidRPr="00D53DB0">
        <w:rPr>
          <w:rFonts w:ascii="Times New Roman" w:hAnsi="Times New Roman" w:cs="Times New Roman"/>
          <w:color w:val="FF0000"/>
          <w:u w:val="single"/>
        </w:rPr>
        <w:t>Tipp</w:t>
      </w:r>
      <w:r w:rsidR="002C314C" w:rsidRPr="00D53DB0">
        <w:rPr>
          <w:rFonts w:ascii="Times New Roman" w:hAnsi="Times New Roman" w:cs="Times New Roman"/>
          <w:color w:val="FF0000"/>
          <w:u w:val="single"/>
        </w:rPr>
        <w:t>:</w:t>
      </w:r>
      <w:r w:rsidR="002C314C" w:rsidRPr="00D53DB0">
        <w:rPr>
          <w:rFonts w:ascii="Times New Roman" w:hAnsi="Times New Roman" w:cs="Times New Roman"/>
          <w:color w:val="FF0000"/>
        </w:rPr>
        <w:t xml:space="preserve"> </w:t>
      </w:r>
      <w:r w:rsidRPr="00D53DB0">
        <w:rPr>
          <w:rFonts w:ascii="Times New Roman" w:hAnsi="Times New Roman" w:cs="Times New Roman"/>
        </w:rPr>
        <w:t>Wählen Sie die Option</w:t>
      </w:r>
      <w:r w:rsidR="002C314C" w:rsidRPr="00D53DB0">
        <w:t xml:space="preserve"> </w:t>
      </w:r>
      <w:r w:rsidRPr="00D53DB0">
        <w:t>“</w:t>
      </w:r>
      <w:proofErr w:type="spellStart"/>
      <w:r w:rsidR="002C314C" w:rsidRPr="00D53DB0">
        <w:rPr>
          <w:rFonts w:ascii="Times New Roman" w:hAnsi="Times New Roman" w:cs="Times New Roman"/>
          <w:u w:val="single"/>
        </w:rPr>
        <w:t>Overlay</w:t>
      </w:r>
      <w:proofErr w:type="spellEnd"/>
      <w:r w:rsidR="002C314C" w:rsidRPr="00D53DB0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2C314C" w:rsidRPr="00D53DB0">
        <w:rPr>
          <w:rFonts w:ascii="Times New Roman" w:hAnsi="Times New Roman" w:cs="Times New Roman"/>
          <w:u w:val="single"/>
        </w:rPr>
        <w:t>spectra</w:t>
      </w:r>
      <w:proofErr w:type="spellEnd"/>
      <w:r w:rsidRPr="00D53DB0">
        <w:rPr>
          <w:rFonts w:ascii="Times New Roman" w:hAnsi="Times New Roman" w:cs="Times New Roman"/>
          <w:u w:val="single"/>
        </w:rPr>
        <w:t>”</w:t>
      </w:r>
      <w:r w:rsidR="002C314C" w:rsidRPr="00D53DB0">
        <w:rPr>
          <w:rFonts w:ascii="Times New Roman" w:hAnsi="Times New Roman" w:cs="Times New Roman"/>
        </w:rPr>
        <w:t xml:space="preserve"> </w:t>
      </w:r>
      <w:r w:rsidRPr="00D53DB0">
        <w:rPr>
          <w:rFonts w:ascii="Times New Roman" w:hAnsi="Times New Roman" w:cs="Times New Roman"/>
        </w:rPr>
        <w:t>im oberen linken Bereich aus um mehrere Spektren g</w:t>
      </w:r>
      <w:r>
        <w:rPr>
          <w:rFonts w:ascii="Times New Roman" w:hAnsi="Times New Roman" w:cs="Times New Roman"/>
        </w:rPr>
        <w:t xml:space="preserve">leichzeitig anzeigen zu lassen und Messungen </w:t>
      </w:r>
      <w:r w:rsidR="0045106B">
        <w:rPr>
          <w:rFonts w:ascii="Times New Roman" w:hAnsi="Times New Roman" w:cs="Times New Roman"/>
        </w:rPr>
        <w:t>derselben</w:t>
      </w:r>
      <w:r>
        <w:rPr>
          <w:rFonts w:ascii="Times New Roman" w:hAnsi="Times New Roman" w:cs="Times New Roman"/>
        </w:rPr>
        <w:t xml:space="preserve"> Probe vergleichen zu können</w:t>
      </w:r>
      <w:r w:rsidR="002C314C" w:rsidRPr="00D53DB0">
        <w:rPr>
          <w:rFonts w:ascii="Times New Roman" w:hAnsi="Times New Roman" w:cs="Times New Roman"/>
        </w:rPr>
        <w:t>.</w:t>
      </w:r>
    </w:p>
    <w:p w:rsidR="001B5134" w:rsidRPr="00D53DB0" w:rsidRDefault="001B5134" w:rsidP="001B5134">
      <w:pPr>
        <w:pStyle w:val="Listenabsatz"/>
        <w:rPr>
          <w:rFonts w:ascii="Times New Roman" w:hAnsi="Times New Roman" w:cs="Times New Roman"/>
        </w:rPr>
      </w:pPr>
    </w:p>
    <w:p w:rsidR="001B5134" w:rsidRPr="00321C88" w:rsidRDefault="003C6D13" w:rsidP="003C6D13">
      <w:pPr>
        <w:pStyle w:val="Listenabsatz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Nun wird die</w:t>
      </w:r>
      <w:r w:rsidR="00321C88">
        <w:rPr>
          <w:rFonts w:ascii="Times New Roman" w:hAnsi="Times New Roman" w:cs="Times New Roman"/>
        </w:rPr>
        <w:t xml:space="preserve"> </w:t>
      </w:r>
      <w:r w:rsidR="00321C88" w:rsidRPr="00321C88">
        <w:rPr>
          <w:rFonts w:ascii="Times New Roman" w:hAnsi="Times New Roman" w:cs="Times New Roman"/>
        </w:rPr>
        <w:t>Pufferlösung</w:t>
      </w:r>
      <w:r w:rsidR="00321C88">
        <w:rPr>
          <w:rFonts w:ascii="Times New Roman" w:hAnsi="Times New Roman" w:cs="Times New Roman"/>
        </w:rPr>
        <w:t xml:space="preserve"> entfernt,</w:t>
      </w:r>
      <w:r w:rsidR="00321C88" w:rsidRPr="00321C88">
        <w:rPr>
          <w:rFonts w:ascii="Times New Roman" w:hAnsi="Times New Roman" w:cs="Times New Roman"/>
        </w:rPr>
        <w:t xml:space="preserve"> </w:t>
      </w:r>
      <w:r w:rsidR="00321C88">
        <w:rPr>
          <w:rFonts w:ascii="Times New Roman" w:hAnsi="Times New Roman" w:cs="Times New Roman"/>
        </w:rPr>
        <w:t xml:space="preserve">die Küvette mit einer verdünnten Probe gefüllt und eingefügt. </w:t>
      </w:r>
      <w:r w:rsidR="00321C88" w:rsidRPr="00321C88">
        <w:rPr>
          <w:rFonts w:ascii="Times New Roman" w:hAnsi="Times New Roman" w:cs="Times New Roman"/>
        </w:rPr>
        <w:t>Notieren Sie sich für die Datenauswertung den Verdünnungsgrad.</w:t>
      </w:r>
    </w:p>
    <w:p w:rsidR="001B5134" w:rsidRPr="00321C88" w:rsidRDefault="001B5134" w:rsidP="001B5134">
      <w:pPr>
        <w:pStyle w:val="Listenabsatz"/>
        <w:rPr>
          <w:rFonts w:ascii="Times New Roman" w:hAnsi="Times New Roman" w:cs="Times New Roman"/>
        </w:rPr>
      </w:pPr>
    </w:p>
    <w:p w:rsidR="001B5134" w:rsidRPr="00321C88" w:rsidRDefault="00321C88" w:rsidP="003056CC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321C88">
        <w:rPr>
          <w:rFonts w:ascii="Times New Roman" w:hAnsi="Times New Roman" w:cs="Times New Roman"/>
        </w:rPr>
        <w:t>Es wird emp</w:t>
      </w:r>
      <w:r>
        <w:rPr>
          <w:rFonts w:ascii="Times New Roman" w:hAnsi="Times New Roman" w:cs="Times New Roman"/>
        </w:rPr>
        <w:t>f</w:t>
      </w:r>
      <w:r w:rsidRPr="00321C88">
        <w:rPr>
          <w:rFonts w:ascii="Times New Roman" w:hAnsi="Times New Roman" w:cs="Times New Roman"/>
        </w:rPr>
        <w:t>ohlen für jede Messung eine frische Probe zu verwenden.</w:t>
      </w:r>
    </w:p>
    <w:p w:rsidR="00C205EA" w:rsidRDefault="00C205EA" w:rsidP="008C04F0">
      <w:pPr>
        <w:pStyle w:val="Listenabsatz"/>
        <w:ind w:left="786"/>
        <w:rPr>
          <w:rFonts w:ascii="Times New Roman" w:hAnsi="Times New Roman" w:cs="Times New Roman"/>
          <w:color w:val="8DB3E2" w:themeColor="text2" w:themeTint="66"/>
          <w:u w:val="single"/>
        </w:rPr>
      </w:pPr>
    </w:p>
    <w:p w:rsidR="003C6D13" w:rsidRPr="00321C88" w:rsidRDefault="003C6D13" w:rsidP="008C04F0">
      <w:pPr>
        <w:pStyle w:val="Listenabsatz"/>
        <w:ind w:left="786"/>
        <w:rPr>
          <w:rFonts w:ascii="Times New Roman" w:hAnsi="Times New Roman" w:cs="Times New Roman"/>
          <w:color w:val="8DB3E2" w:themeColor="text2" w:themeTint="66"/>
          <w:u w:val="single"/>
        </w:rPr>
      </w:pPr>
    </w:p>
    <w:p w:rsidR="008C04F0" w:rsidRPr="003B2F0C" w:rsidRDefault="003C6D13" w:rsidP="00C205EA">
      <w:pPr>
        <w:pStyle w:val="Listenabsatz"/>
        <w:ind w:left="786"/>
        <w:rPr>
          <w:rFonts w:ascii="Times New Roman" w:hAnsi="Times New Roman" w:cs="Times New Roman"/>
          <w:color w:val="8DB3E2" w:themeColor="text2" w:themeTint="66"/>
          <w:u w:val="single"/>
        </w:rPr>
      </w:pPr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212090</wp:posOffset>
            </wp:positionV>
            <wp:extent cx="1036955" cy="1852295"/>
            <wp:effectExtent l="0" t="0" r="0" b="0"/>
            <wp:wrapTight wrapText="bothSides">
              <wp:wrapPolygon edited="0">
                <wp:start x="0" y="0"/>
                <wp:lineTo x="0" y="21326"/>
                <wp:lineTo x="21031" y="21326"/>
                <wp:lineTo x="21031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C88" w:rsidRPr="003B2F0C">
        <w:rPr>
          <w:rFonts w:ascii="Times New Roman" w:hAnsi="Times New Roman" w:cs="Times New Roman"/>
          <w:color w:val="8DB3E2" w:themeColor="text2" w:themeTint="66"/>
          <w:u w:val="single"/>
        </w:rPr>
        <w:t>Datenauswertung</w:t>
      </w:r>
      <w:r w:rsidR="00C205EA" w:rsidRPr="003B2F0C">
        <w:rPr>
          <w:rFonts w:ascii="Times New Roman" w:hAnsi="Times New Roman" w:cs="Times New Roman"/>
          <w:color w:val="8DB3E2" w:themeColor="text2" w:themeTint="66"/>
          <w:u w:val="single"/>
        </w:rPr>
        <w:t>:</w:t>
      </w:r>
    </w:p>
    <w:p w:rsidR="008C04F0" w:rsidRPr="00321C88" w:rsidRDefault="00321C88" w:rsidP="008C04F0">
      <w:pPr>
        <w:pStyle w:val="Listenabsatz"/>
        <w:ind w:left="786"/>
        <w:rPr>
          <w:rFonts w:ascii="Times New Roman" w:hAnsi="Times New Roman" w:cs="Times New Roman"/>
        </w:rPr>
      </w:pPr>
      <w:r w:rsidRPr="00321C88">
        <w:rPr>
          <w:rFonts w:ascii="Times New Roman" w:hAnsi="Times New Roman" w:cs="Times New Roman"/>
        </w:rPr>
        <w:t>Wählen Sie “</w:t>
      </w:r>
      <w:r w:rsidR="002C314C" w:rsidRPr="00321C88">
        <w:rPr>
          <w:rFonts w:ascii="Times New Roman" w:hAnsi="Times New Roman" w:cs="Times New Roman"/>
          <w:u w:val="single"/>
        </w:rPr>
        <w:t>Reports</w:t>
      </w:r>
      <w:r w:rsidRPr="00321C88">
        <w:rPr>
          <w:rFonts w:ascii="Times New Roman" w:hAnsi="Times New Roman" w:cs="Times New Roman"/>
        </w:rPr>
        <w:t>”</w:t>
      </w:r>
      <w:r w:rsidR="002C314C" w:rsidRPr="00321C88">
        <w:rPr>
          <w:rFonts w:ascii="Times New Roman" w:hAnsi="Times New Roman" w:cs="Times New Roman"/>
        </w:rPr>
        <w:t xml:space="preserve"> </w:t>
      </w:r>
      <w:r w:rsidRPr="00321C88">
        <w:rPr>
          <w:rFonts w:ascii="Times New Roman" w:hAnsi="Times New Roman" w:cs="Times New Roman"/>
        </w:rPr>
        <w:t xml:space="preserve">im unteren linken Bereich an um die Datensätze zu exportieren und mit anderen Anwendungen zu nutzten. Sie können hier auch Protokolle der </w:t>
      </w:r>
      <w:r>
        <w:rPr>
          <w:rFonts w:ascii="Times New Roman" w:hAnsi="Times New Roman" w:cs="Times New Roman"/>
        </w:rPr>
        <w:t xml:space="preserve">aktuellen </w:t>
      </w:r>
      <w:r w:rsidRPr="00321C88">
        <w:rPr>
          <w:rFonts w:ascii="Times New Roman" w:hAnsi="Times New Roman" w:cs="Times New Roman"/>
        </w:rPr>
        <w:t>Messung anfertigen.</w:t>
      </w:r>
    </w:p>
    <w:p w:rsidR="008C04F0" w:rsidRPr="00321C88" w:rsidRDefault="008C04F0" w:rsidP="008C04F0">
      <w:pPr>
        <w:pStyle w:val="Listenabsatz"/>
        <w:ind w:left="786"/>
        <w:rPr>
          <w:rFonts w:ascii="Times New Roman" w:hAnsi="Times New Roman" w:cs="Times New Roman"/>
        </w:rPr>
      </w:pPr>
    </w:p>
    <w:p w:rsidR="002C314C" w:rsidRPr="009B1A3E" w:rsidRDefault="00321C88" w:rsidP="008C04F0">
      <w:pPr>
        <w:pStyle w:val="Listenabsatz"/>
        <w:ind w:left="786"/>
        <w:rPr>
          <w:rFonts w:ascii="Times New Roman" w:hAnsi="Times New Roman" w:cs="Times New Roman"/>
        </w:rPr>
      </w:pPr>
      <w:r w:rsidRPr="009B1A3E">
        <w:rPr>
          <w:rFonts w:ascii="Times New Roman" w:hAnsi="Times New Roman" w:cs="Times New Roman"/>
        </w:rPr>
        <w:t>Für eine schnelle Konzentrationsbestimmung mit dem “</w:t>
      </w:r>
      <w:proofErr w:type="spellStart"/>
      <w:r w:rsidRPr="009B1A3E">
        <w:rPr>
          <w:rFonts w:ascii="Times New Roman" w:hAnsi="Times New Roman" w:cs="Times New Roman"/>
        </w:rPr>
        <w:t>Cuvette</w:t>
      </w:r>
      <w:proofErr w:type="spellEnd"/>
      <w:r w:rsidRPr="009B1A3E">
        <w:rPr>
          <w:rFonts w:ascii="Times New Roman" w:hAnsi="Times New Roman" w:cs="Times New Roman"/>
        </w:rPr>
        <w:t xml:space="preserve"> Mode” </w:t>
      </w:r>
      <w:r w:rsidR="009B1A3E" w:rsidRPr="009B1A3E">
        <w:rPr>
          <w:rFonts w:ascii="Times New Roman" w:hAnsi="Times New Roman" w:cs="Times New Roman"/>
        </w:rPr>
        <w:t xml:space="preserve">wird der Wert der </w:t>
      </w:r>
      <w:r w:rsidR="0045106B" w:rsidRPr="009B1A3E">
        <w:rPr>
          <w:rFonts w:ascii="Times New Roman" w:hAnsi="Times New Roman" w:cs="Times New Roman"/>
        </w:rPr>
        <w:t>Absorption</w:t>
      </w:r>
      <w:r w:rsidR="009B1A3E" w:rsidRPr="009B1A3E">
        <w:rPr>
          <w:rFonts w:ascii="Times New Roman" w:hAnsi="Times New Roman" w:cs="Times New Roman"/>
        </w:rPr>
        <w:t xml:space="preserve"> bei entsprechender Wellenlänge </w:t>
      </w:r>
      <w:r w:rsidR="009B1A3E">
        <w:rPr>
          <w:rFonts w:ascii="Times New Roman" w:hAnsi="Times New Roman" w:cs="Times New Roman"/>
        </w:rPr>
        <w:t>genutzt</w:t>
      </w:r>
      <w:r w:rsidR="009B1A3E" w:rsidRPr="009B1A3E">
        <w:rPr>
          <w:rFonts w:ascii="Times New Roman" w:hAnsi="Times New Roman" w:cs="Times New Roman"/>
        </w:rPr>
        <w:t>.</w:t>
      </w:r>
      <w:r w:rsidR="009B1A3E">
        <w:rPr>
          <w:rFonts w:ascii="Times New Roman" w:hAnsi="Times New Roman" w:cs="Times New Roman"/>
        </w:rPr>
        <w:t xml:space="preserve"> </w:t>
      </w:r>
      <w:r w:rsidR="009B1A3E" w:rsidRPr="009B1A3E">
        <w:rPr>
          <w:rFonts w:ascii="Times New Roman" w:hAnsi="Times New Roman" w:cs="Times New Roman"/>
        </w:rPr>
        <w:t>Für Proteine wird beispielsw</w:t>
      </w:r>
      <w:r w:rsidR="009B1A3E">
        <w:rPr>
          <w:rFonts w:ascii="Times New Roman" w:hAnsi="Times New Roman" w:cs="Times New Roman"/>
        </w:rPr>
        <w:t xml:space="preserve">eise die </w:t>
      </w:r>
      <w:r w:rsidR="0045106B">
        <w:rPr>
          <w:rFonts w:ascii="Times New Roman" w:hAnsi="Times New Roman" w:cs="Times New Roman"/>
        </w:rPr>
        <w:t>Absorption</w:t>
      </w:r>
      <w:r w:rsidR="009B1A3E">
        <w:rPr>
          <w:rFonts w:ascii="Times New Roman" w:hAnsi="Times New Roman" w:cs="Times New Roman"/>
        </w:rPr>
        <w:t xml:space="preserve"> bei 280 </w:t>
      </w:r>
      <w:proofErr w:type="spellStart"/>
      <w:r w:rsidR="009B1A3E">
        <w:rPr>
          <w:rFonts w:ascii="Times New Roman" w:hAnsi="Times New Roman" w:cs="Times New Roman"/>
        </w:rPr>
        <w:t>nm</w:t>
      </w:r>
      <w:proofErr w:type="spellEnd"/>
      <w:r w:rsidR="009B1A3E">
        <w:rPr>
          <w:rFonts w:ascii="Times New Roman" w:hAnsi="Times New Roman" w:cs="Times New Roman"/>
        </w:rPr>
        <w:t xml:space="preserve"> verwendet</w:t>
      </w:r>
      <w:r w:rsidR="009B1A3E" w:rsidRPr="009B1A3E">
        <w:rPr>
          <w:rFonts w:ascii="Times New Roman" w:hAnsi="Times New Roman" w:cs="Times New Roman"/>
        </w:rPr>
        <w:t xml:space="preserve"> um die Protein Konzentration zu bestimmen.</w:t>
      </w:r>
      <w:r w:rsidR="009B1A3E">
        <w:rPr>
          <w:rFonts w:ascii="Times New Roman" w:hAnsi="Times New Roman" w:cs="Times New Roman"/>
        </w:rPr>
        <w:t xml:space="preserve"> Hierfür wird das Beer-Lambert Gesetz angewendet:</w:t>
      </w:r>
    </w:p>
    <w:p w:rsidR="00E46C0B" w:rsidRPr="009B1A3E" w:rsidRDefault="00E46C0B" w:rsidP="008C04F0">
      <w:pPr>
        <w:pStyle w:val="Listenabsatz"/>
        <w:ind w:left="786"/>
        <w:rPr>
          <w:rFonts w:ascii="Times New Roman" w:hAnsi="Times New Roman" w:cs="Times New Roman"/>
        </w:rPr>
      </w:pPr>
    </w:p>
    <w:p w:rsidR="002C314C" w:rsidRPr="00F42B7F" w:rsidRDefault="00E46C0B" w:rsidP="00F42B7F">
      <w:pPr>
        <w:pStyle w:val="Listenabsatz"/>
        <w:ind w:left="786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A= ε∙c∙d∙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(r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d</m:t>
              </m:r>
            </m:sub>
          </m:sSub>
          <m:r>
            <w:rPr>
              <w:rFonts w:ascii="Cambria Math" w:hAnsi="Cambria Math" w:cs="Times New Roman"/>
              <w:lang w:val="en-US"/>
            </w:rPr>
            <m:t>)</m:t>
          </m:r>
        </m:oMath>
      </m:oMathPara>
    </w:p>
    <w:p w:rsidR="00F42B7F" w:rsidRPr="00F42B7F" w:rsidRDefault="00F42B7F" w:rsidP="00F42B7F">
      <w:pPr>
        <w:pStyle w:val="Listenabsatz"/>
        <w:ind w:left="786"/>
        <w:rPr>
          <w:rFonts w:ascii="Times New Roman" w:eastAsiaTheme="minorEastAsia" w:hAnsi="Times New Roman" w:cs="Times New Roman"/>
          <w:lang w:val="en-US"/>
        </w:rPr>
      </w:pPr>
    </w:p>
    <w:p w:rsidR="00E76289" w:rsidRPr="008B052C" w:rsidRDefault="009B1A3E" w:rsidP="008B052C">
      <w:pPr>
        <w:pStyle w:val="Listenabsatz"/>
        <w:ind w:left="786"/>
        <w:rPr>
          <w:rFonts w:ascii="Times New Roman" w:eastAsiaTheme="minorEastAsia" w:hAnsi="Times New Roman" w:cs="Times New Roman"/>
        </w:rPr>
      </w:pPr>
      <w:r w:rsidRPr="009B1A3E">
        <w:rPr>
          <w:rFonts w:ascii="Times New Roman" w:hAnsi="Times New Roman" w:cs="Times New Roman"/>
        </w:rPr>
        <w:t>Wobei</w:t>
      </w:r>
      <w:r w:rsidR="00F42B7F" w:rsidRPr="009B1A3E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A</m:t>
        </m:r>
      </m:oMath>
      <w:r w:rsidR="00F42B7F" w:rsidRPr="009B1A3E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die </w:t>
      </w:r>
      <w:r w:rsidR="0045106B">
        <w:rPr>
          <w:rFonts w:ascii="Times New Roman" w:eastAsiaTheme="minorEastAsia" w:hAnsi="Times New Roman" w:cs="Times New Roman"/>
        </w:rPr>
        <w:t>Absorption</w:t>
      </w:r>
      <w:r>
        <w:rPr>
          <w:rFonts w:ascii="Times New Roman" w:eastAsiaTheme="minorEastAsia" w:hAnsi="Times New Roman" w:cs="Times New Roman"/>
        </w:rPr>
        <w:t xml:space="preserve"> bei der</w:t>
      </w:r>
      <w:r w:rsidRPr="009B1A3E">
        <w:rPr>
          <w:rFonts w:ascii="Times New Roman" w:eastAsiaTheme="minorEastAsia" w:hAnsi="Times New Roman" w:cs="Times New Roman"/>
        </w:rPr>
        <w:t xml:space="preserve"> re</w:t>
      </w:r>
      <w:r>
        <w:rPr>
          <w:rFonts w:ascii="Times New Roman" w:eastAsiaTheme="minorEastAsia" w:hAnsi="Times New Roman" w:cs="Times New Roman"/>
        </w:rPr>
        <w:t>levanten Wellenlänge</w:t>
      </w:r>
      <w:r w:rsidR="00A74F28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ε</m:t>
        </m:r>
      </m:oMath>
      <w:r w:rsidR="00A74F28">
        <w:rPr>
          <w:rFonts w:ascii="Times New Roman" w:eastAsiaTheme="minorEastAsia" w:hAnsi="Times New Roman" w:cs="Times New Roman"/>
        </w:rPr>
        <w:t xml:space="preserve"> den Extinktionskoeffizienten</w:t>
      </w:r>
      <w:r w:rsidR="008B052C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8B052C">
        <w:rPr>
          <w:rFonts w:ascii="Times New Roman" w:eastAsiaTheme="minorEastAsia" w:hAnsi="Times New Roman" w:cs="Times New Roman"/>
        </w:rPr>
        <w:t xml:space="preserve">in </w:t>
      </w:r>
      <m:oMath>
        <w:proofErr w:type="gramEnd"/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ml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mg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cm</m:t>
            </m:r>
          </m:den>
        </m:f>
      </m:oMath>
      <w:r w:rsidR="008B052C" w:rsidRPr="008B052C">
        <w:rPr>
          <w:rFonts w:ascii="Times New Roman" w:eastAsiaTheme="minorEastAsia" w:hAnsi="Times New Roman" w:cs="Times New Roman"/>
        </w:rPr>
        <w:t xml:space="preserve">, </w:t>
      </w:r>
      <w:r w:rsidR="00A74F28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d</m:t>
        </m:r>
      </m:oMath>
      <w:r w:rsidR="00F42B7F" w:rsidRPr="008B052C">
        <w:rPr>
          <w:rFonts w:ascii="Times New Roman" w:eastAsiaTheme="minorEastAsia" w:hAnsi="Times New Roman" w:cs="Times New Roman"/>
        </w:rPr>
        <w:t xml:space="preserve"> </w:t>
      </w:r>
      <w:r w:rsidRPr="008B052C">
        <w:rPr>
          <w:rFonts w:ascii="Times New Roman" w:eastAsiaTheme="minorEastAsia" w:hAnsi="Times New Roman" w:cs="Times New Roman"/>
        </w:rPr>
        <w:t xml:space="preserve">die Pfadlänge in cm und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d</m:t>
            </m:r>
          </m:sub>
        </m:sSub>
      </m:oMath>
      <w:r w:rsidR="00A74F28" w:rsidRPr="008B052C">
        <w:rPr>
          <w:rFonts w:ascii="Times New Roman" w:eastAsiaTheme="minorEastAsia" w:hAnsi="Times New Roman" w:cs="Times New Roman"/>
        </w:rPr>
        <w:t xml:space="preserve"> den Verdünnungsgrad darstellt.</w:t>
      </w:r>
    </w:p>
    <w:p w:rsidR="003064C3" w:rsidRPr="009B1A3E" w:rsidRDefault="003064C3" w:rsidP="00E76289">
      <w:pPr>
        <w:pStyle w:val="Listenabsatz"/>
        <w:ind w:left="786"/>
        <w:rPr>
          <w:rFonts w:ascii="Times New Roman" w:eastAsiaTheme="minorEastAsia" w:hAnsi="Times New Roman" w:cs="Times New Roman"/>
        </w:rPr>
      </w:pPr>
      <w:bookmarkStart w:id="0" w:name="_GoBack"/>
      <w:bookmarkEnd w:id="0"/>
    </w:p>
    <w:p w:rsidR="00E76289" w:rsidRPr="0016636F" w:rsidRDefault="009B1A3E" w:rsidP="00E76289">
      <w:pPr>
        <w:pStyle w:val="Listenabsatz"/>
        <w:ind w:left="786"/>
        <w:rPr>
          <w:rFonts w:ascii="Times New Roman" w:eastAsiaTheme="minorEastAsia" w:hAnsi="Times New Roman" w:cs="Times New Roman"/>
        </w:rPr>
      </w:pPr>
      <w:r w:rsidRPr="009B1A3E">
        <w:rPr>
          <w:rFonts w:ascii="Times New Roman" w:eastAsiaTheme="minorEastAsia" w:hAnsi="Times New Roman" w:cs="Times New Roman"/>
        </w:rPr>
        <w:lastRenderedPageBreak/>
        <w:t>Bei Verwendung des Sockels, werden die Ergebnisse vom Programm ermittelt.</w:t>
      </w:r>
      <w:r w:rsidR="002037CA">
        <w:rPr>
          <w:rFonts w:ascii="Times New Roman" w:eastAsiaTheme="minorEastAsia" w:hAnsi="Times New Roman" w:cs="Times New Roman"/>
        </w:rPr>
        <w:t xml:space="preserve"> </w:t>
      </w:r>
      <w:r w:rsidR="002037CA" w:rsidRPr="002037CA">
        <w:rPr>
          <w:rFonts w:ascii="Times New Roman" w:eastAsiaTheme="minorEastAsia" w:hAnsi="Times New Roman" w:cs="Times New Roman"/>
        </w:rPr>
        <w:t xml:space="preserve">Das Instrument stellt die Pfadlänge ein (von 0.05 bis 1mm) und normiert </w:t>
      </w:r>
      <w:r w:rsidR="002037CA">
        <w:rPr>
          <w:rFonts w:ascii="Times New Roman" w:eastAsiaTheme="minorEastAsia" w:hAnsi="Times New Roman" w:cs="Times New Roman"/>
        </w:rPr>
        <w:t xml:space="preserve">für die Datenauswertung </w:t>
      </w:r>
      <w:r w:rsidR="002037CA" w:rsidRPr="002037CA">
        <w:rPr>
          <w:rFonts w:ascii="Times New Roman" w:eastAsiaTheme="minorEastAsia" w:hAnsi="Times New Roman" w:cs="Times New Roman"/>
        </w:rPr>
        <w:t>den Wert der Absorption auf</w:t>
      </w:r>
      <w:r w:rsidR="002037CA">
        <w:rPr>
          <w:rFonts w:ascii="Times New Roman" w:eastAsiaTheme="minorEastAsia" w:hAnsi="Times New Roman" w:cs="Times New Roman"/>
        </w:rPr>
        <w:t xml:space="preserve"> </w:t>
      </w:r>
      <w:r w:rsidR="002037CA" w:rsidRPr="002037CA">
        <w:rPr>
          <w:rFonts w:ascii="Times New Roman" w:eastAsiaTheme="minorEastAsia" w:hAnsi="Times New Roman" w:cs="Times New Roman"/>
        </w:rPr>
        <w:t xml:space="preserve">10 mm. </w:t>
      </w:r>
      <w:r w:rsidR="0016636F" w:rsidRPr="0016636F">
        <w:rPr>
          <w:rFonts w:ascii="Times New Roman" w:eastAsiaTheme="minorEastAsia" w:hAnsi="Times New Roman" w:cs="Times New Roman"/>
        </w:rPr>
        <w:t xml:space="preserve">Ziehen Sie für weitere Informationen zu Probensystemen und Messmethoden die </w:t>
      </w:r>
      <w:hyperlink r:id="rId9" w:history="1">
        <w:r w:rsidR="0016636F" w:rsidRPr="0016636F">
          <w:rPr>
            <w:rStyle w:val="Hyperlink"/>
            <w:rFonts w:ascii="Times New Roman" w:eastAsiaTheme="minorEastAsia" w:hAnsi="Times New Roman" w:cs="Times New Roman"/>
          </w:rPr>
          <w:t>Betriebsanleitung</w:t>
        </w:r>
      </w:hyperlink>
      <w:r w:rsidR="00E76289" w:rsidRPr="0016636F">
        <w:rPr>
          <w:rFonts w:ascii="Times New Roman" w:eastAsiaTheme="minorEastAsia" w:hAnsi="Times New Roman" w:cs="Times New Roman"/>
        </w:rPr>
        <w:t xml:space="preserve"> </w:t>
      </w:r>
      <w:r w:rsidR="0016636F" w:rsidRPr="0016636F">
        <w:rPr>
          <w:rFonts w:ascii="Times New Roman" w:eastAsiaTheme="minorEastAsia" w:hAnsi="Times New Roman" w:cs="Times New Roman"/>
        </w:rPr>
        <w:t xml:space="preserve">zur </w:t>
      </w:r>
      <w:r w:rsidR="0016636F">
        <w:rPr>
          <w:rFonts w:ascii="Times New Roman" w:eastAsiaTheme="minorEastAsia" w:hAnsi="Times New Roman" w:cs="Times New Roman"/>
        </w:rPr>
        <w:t>Rate.</w:t>
      </w:r>
    </w:p>
    <w:p w:rsidR="003064C3" w:rsidRPr="0016636F" w:rsidRDefault="003064C3" w:rsidP="00E76289">
      <w:pPr>
        <w:pStyle w:val="Listenabsatz"/>
        <w:ind w:left="786"/>
        <w:rPr>
          <w:rFonts w:ascii="Times New Roman" w:eastAsiaTheme="minorEastAsia" w:hAnsi="Times New Roman" w:cs="Times New Roman"/>
        </w:rPr>
      </w:pPr>
    </w:p>
    <w:p w:rsidR="003064C3" w:rsidRPr="0016636F" w:rsidRDefault="003064C3" w:rsidP="008C04F0">
      <w:pPr>
        <w:pStyle w:val="Listenabsatz"/>
        <w:ind w:left="786"/>
        <w:rPr>
          <w:rFonts w:ascii="Times New Roman" w:hAnsi="Times New Roman" w:cs="Times New Roman"/>
        </w:rPr>
      </w:pPr>
    </w:p>
    <w:p w:rsidR="003064C3" w:rsidRPr="003056CC" w:rsidRDefault="0016636F" w:rsidP="003056CC">
      <w:pPr>
        <w:pStyle w:val="Listenabsatz"/>
        <w:ind w:left="786"/>
        <w:rPr>
          <w:rFonts w:ascii="Times New Roman" w:hAnsi="Times New Roman" w:cs="Times New Roman"/>
          <w:color w:val="8DB3E2" w:themeColor="text2" w:themeTint="66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color w:val="8DB3E2" w:themeColor="text2" w:themeTint="66"/>
          <w:u w:val="single"/>
          <w:lang w:val="en-US"/>
        </w:rPr>
        <w:t>Reinigung</w:t>
      </w:r>
      <w:proofErr w:type="spellEnd"/>
      <w:r>
        <w:rPr>
          <w:rFonts w:ascii="Times New Roman" w:hAnsi="Times New Roman" w:cs="Times New Roman"/>
          <w:color w:val="8DB3E2" w:themeColor="text2" w:themeTint="66"/>
          <w:u w:val="single"/>
          <w:lang w:val="en-US"/>
        </w:rPr>
        <w:t xml:space="preserve"> des </w:t>
      </w:r>
      <w:proofErr w:type="spellStart"/>
      <w:r>
        <w:rPr>
          <w:rFonts w:ascii="Times New Roman" w:hAnsi="Times New Roman" w:cs="Times New Roman"/>
          <w:color w:val="8DB3E2" w:themeColor="text2" w:themeTint="66"/>
          <w:u w:val="single"/>
          <w:lang w:val="en-US"/>
        </w:rPr>
        <w:t>Sockels</w:t>
      </w:r>
      <w:proofErr w:type="spellEnd"/>
      <w:r w:rsidR="003056CC">
        <w:rPr>
          <w:rFonts w:ascii="Times New Roman" w:hAnsi="Times New Roman" w:cs="Times New Roman"/>
          <w:color w:val="8DB3E2" w:themeColor="text2" w:themeTint="66"/>
          <w:u w:val="single"/>
          <w:lang w:val="en-US"/>
        </w:rPr>
        <w:t>:</w:t>
      </w:r>
    </w:p>
    <w:p w:rsidR="003064C3" w:rsidRPr="003064C3" w:rsidRDefault="00C205EA" w:rsidP="003064C3">
      <w:pPr>
        <w:pStyle w:val="Listenabsatz"/>
        <w:ind w:left="786"/>
        <w:rPr>
          <w:rFonts w:ascii="Times New Roman" w:hAnsi="Times New Roman" w:cs="Times New Roman"/>
          <w:color w:val="8DB3E2" w:themeColor="text2" w:themeTint="66"/>
          <w:u w:val="single"/>
          <w:lang w:val="en-US"/>
        </w:rPr>
      </w:pPr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3463925</wp:posOffset>
            </wp:positionH>
            <wp:positionV relativeFrom="paragraph">
              <wp:posOffset>59690</wp:posOffset>
            </wp:positionV>
            <wp:extent cx="2329180" cy="931545"/>
            <wp:effectExtent l="0" t="0" r="0" b="1905"/>
            <wp:wrapTight wrapText="bothSides">
              <wp:wrapPolygon edited="0">
                <wp:start x="0" y="0"/>
                <wp:lineTo x="0" y="21202"/>
                <wp:lineTo x="21376" y="21202"/>
                <wp:lineTo x="21376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ni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64C3" w:rsidRPr="00CF5EC1" w:rsidRDefault="0016636F" w:rsidP="003056CC">
      <w:pPr>
        <w:pStyle w:val="Listenabsatz"/>
        <w:numPr>
          <w:ilvl w:val="0"/>
          <w:numId w:val="9"/>
        </w:numPr>
        <w:rPr>
          <w:rFonts w:ascii="Times New Roman" w:hAnsi="Times New Roman" w:cs="Times New Roman"/>
        </w:rPr>
      </w:pPr>
      <w:r w:rsidRPr="00CF5EC1">
        <w:rPr>
          <w:rFonts w:ascii="Times New Roman" w:hAnsi="Times New Roman" w:cs="Times New Roman"/>
        </w:rPr>
        <w:t>Tragen Sie</w:t>
      </w:r>
      <w:r w:rsidR="003064C3" w:rsidRPr="00CF5EC1">
        <w:rPr>
          <w:rFonts w:ascii="Times New Roman" w:hAnsi="Times New Roman" w:cs="Times New Roman"/>
        </w:rPr>
        <w:t xml:space="preserve"> </w:t>
      </w:r>
      <w:r w:rsidR="00CF5EC1" w:rsidRPr="00CF5EC1">
        <w:rPr>
          <w:rFonts w:ascii="Times New Roman" w:hAnsi="Times New Roman" w:cs="Times New Roman"/>
        </w:rPr>
        <w:t xml:space="preserve">3-5 </w:t>
      </w:r>
      <w:r w:rsidRPr="00CF5EC1">
        <w:rPr>
          <w:rFonts w:ascii="Times New Roman" w:hAnsi="Times New Roman" w:cs="Times New Roman"/>
        </w:rPr>
        <w:t>µ</w:t>
      </w:r>
      <w:r w:rsidR="003064C3" w:rsidRPr="00CF5EC1">
        <w:rPr>
          <w:rFonts w:ascii="Times New Roman" w:hAnsi="Times New Roman" w:cs="Times New Roman"/>
        </w:rPr>
        <w:t xml:space="preserve">l </w:t>
      </w:r>
      <w:r w:rsidR="00CF5EC1" w:rsidRPr="00CF5EC1">
        <w:rPr>
          <w:rFonts w:ascii="Times New Roman" w:hAnsi="Times New Roman" w:cs="Times New Roman"/>
        </w:rPr>
        <w:t>dH</w:t>
      </w:r>
      <w:r w:rsidR="00CF5EC1" w:rsidRPr="00CF5EC1">
        <w:rPr>
          <w:rFonts w:ascii="Times New Roman" w:hAnsi="Times New Roman" w:cs="Times New Roman"/>
          <w:vertAlign w:val="subscript"/>
        </w:rPr>
        <w:t>2</w:t>
      </w:r>
      <w:r w:rsidR="003064C3" w:rsidRPr="00CF5EC1">
        <w:rPr>
          <w:rFonts w:ascii="Times New Roman" w:hAnsi="Times New Roman" w:cs="Times New Roman"/>
        </w:rPr>
        <w:t>0 (</w:t>
      </w:r>
      <w:r w:rsidR="00CF5EC1" w:rsidRPr="00CF5EC1">
        <w:rPr>
          <w:rFonts w:ascii="Times New Roman" w:hAnsi="Times New Roman" w:cs="Times New Roman"/>
        </w:rPr>
        <w:t>reines</w:t>
      </w:r>
      <w:r w:rsidR="003064C3" w:rsidRPr="00CF5EC1">
        <w:rPr>
          <w:rFonts w:ascii="Times New Roman" w:hAnsi="Times New Roman" w:cs="Times New Roman"/>
        </w:rPr>
        <w:t xml:space="preserve"> </w:t>
      </w:r>
      <w:proofErr w:type="spellStart"/>
      <w:r w:rsidR="003056CC" w:rsidRPr="00CF5EC1">
        <w:rPr>
          <w:rFonts w:ascii="Times New Roman" w:hAnsi="Times New Roman" w:cs="Times New Roman"/>
        </w:rPr>
        <w:t>aka</w:t>
      </w:r>
      <w:proofErr w:type="spellEnd"/>
      <w:r w:rsidR="003056CC" w:rsidRPr="00CF5EC1">
        <w:rPr>
          <w:rFonts w:ascii="Times New Roman" w:hAnsi="Times New Roman" w:cs="Times New Roman"/>
        </w:rPr>
        <w:t xml:space="preserve"> </w:t>
      </w:r>
      <w:proofErr w:type="spellStart"/>
      <w:r w:rsidR="003056CC" w:rsidRPr="00CF5EC1">
        <w:rPr>
          <w:rFonts w:ascii="Times New Roman" w:hAnsi="Times New Roman" w:cs="Times New Roman"/>
        </w:rPr>
        <w:t>Millipore</w:t>
      </w:r>
      <w:proofErr w:type="spellEnd"/>
      <w:r w:rsidR="003056CC" w:rsidRPr="00CF5EC1">
        <w:rPr>
          <w:rFonts w:ascii="Times New Roman" w:hAnsi="Times New Roman" w:cs="Times New Roman"/>
        </w:rPr>
        <w:t xml:space="preserve"> </w:t>
      </w:r>
      <w:r w:rsidR="00CF5EC1" w:rsidRPr="00CF5EC1">
        <w:rPr>
          <w:rFonts w:ascii="Times New Roman" w:hAnsi="Times New Roman" w:cs="Times New Roman"/>
        </w:rPr>
        <w:t>Wasser</w:t>
      </w:r>
      <w:r w:rsidR="003056CC" w:rsidRPr="00CF5EC1">
        <w:rPr>
          <w:rFonts w:ascii="Times New Roman" w:hAnsi="Times New Roman" w:cs="Times New Roman"/>
        </w:rPr>
        <w:t xml:space="preserve">) </w:t>
      </w:r>
      <w:r w:rsidR="00CF5EC1" w:rsidRPr="00CF5EC1">
        <w:rPr>
          <w:rFonts w:ascii="Times New Roman" w:hAnsi="Times New Roman" w:cs="Times New Roman"/>
        </w:rPr>
        <w:t>auf die Sockelspitze auf.</w:t>
      </w:r>
      <w:r w:rsidR="003056CC" w:rsidRPr="00CF5EC1">
        <w:rPr>
          <w:rFonts w:ascii="Times New Roman" w:hAnsi="Times New Roman" w:cs="Times New Roman"/>
        </w:rPr>
        <w:t xml:space="preserve"> </w:t>
      </w:r>
      <w:r w:rsidR="00CF5EC1" w:rsidRPr="00CF5EC1">
        <w:rPr>
          <w:rFonts w:ascii="Times New Roman" w:hAnsi="Times New Roman" w:cs="Times New Roman"/>
          <w:u w:val="single"/>
        </w:rPr>
        <w:t xml:space="preserve">Verwenden Sie </w:t>
      </w:r>
      <w:r w:rsidR="00CF5EC1">
        <w:rPr>
          <w:rFonts w:ascii="Times New Roman" w:hAnsi="Times New Roman" w:cs="Times New Roman"/>
          <w:u w:val="single"/>
        </w:rPr>
        <w:t>keine</w:t>
      </w:r>
      <w:r w:rsidR="00CF5EC1" w:rsidRPr="00CF5EC1">
        <w:rPr>
          <w:rFonts w:ascii="Times New Roman" w:hAnsi="Times New Roman" w:cs="Times New Roman"/>
          <w:u w:val="single"/>
        </w:rPr>
        <w:t xml:space="preserve"> </w:t>
      </w:r>
      <w:r w:rsidR="00CF5EC1">
        <w:rPr>
          <w:rFonts w:ascii="Times New Roman" w:hAnsi="Times New Roman" w:cs="Times New Roman"/>
          <w:u w:val="single"/>
        </w:rPr>
        <w:t>„</w:t>
      </w:r>
      <w:r w:rsidR="00CF5EC1" w:rsidRPr="00CF5EC1">
        <w:rPr>
          <w:rFonts w:ascii="Times New Roman" w:hAnsi="Times New Roman" w:cs="Times New Roman"/>
          <w:u w:val="single"/>
        </w:rPr>
        <w:t>Spritzflasche</w:t>
      </w:r>
      <w:r w:rsidR="00CF5EC1">
        <w:rPr>
          <w:rFonts w:ascii="Times New Roman" w:hAnsi="Times New Roman" w:cs="Times New Roman"/>
          <w:u w:val="single"/>
        </w:rPr>
        <w:t>n“</w:t>
      </w:r>
      <w:r w:rsidR="00CF5EC1">
        <w:rPr>
          <w:rFonts w:ascii="Times New Roman" w:hAnsi="Times New Roman" w:cs="Times New Roman"/>
        </w:rPr>
        <w:t>, de-ionisiertes</w:t>
      </w:r>
      <w:r w:rsidR="00CF5EC1" w:rsidRPr="00CF5EC1">
        <w:rPr>
          <w:rFonts w:ascii="Times New Roman" w:hAnsi="Times New Roman" w:cs="Times New Roman"/>
        </w:rPr>
        <w:t xml:space="preserve"> Wasser oder andere Flüssig</w:t>
      </w:r>
      <w:r w:rsidR="00CF5EC1">
        <w:rPr>
          <w:rFonts w:ascii="Times New Roman" w:hAnsi="Times New Roman" w:cs="Times New Roman"/>
        </w:rPr>
        <w:t>keiten für die Reinigung.</w:t>
      </w:r>
    </w:p>
    <w:p w:rsidR="003064C3" w:rsidRPr="00CF5EC1" w:rsidRDefault="00CF5EC1" w:rsidP="003056CC">
      <w:pPr>
        <w:pStyle w:val="Listenabsatz"/>
        <w:numPr>
          <w:ilvl w:val="0"/>
          <w:numId w:val="9"/>
        </w:numPr>
        <w:rPr>
          <w:rFonts w:ascii="Times New Roman" w:hAnsi="Times New Roman" w:cs="Times New Roman"/>
        </w:rPr>
      </w:pPr>
      <w:r w:rsidRPr="00CF5EC1">
        <w:rPr>
          <w:rFonts w:ascii="Times New Roman" w:hAnsi="Times New Roman" w:cs="Times New Roman"/>
        </w:rPr>
        <w:t>Senken Sie den Hebel damit sich eine Wassersäule bildet und warten Sie ca.</w:t>
      </w:r>
      <w:r w:rsidR="003064C3" w:rsidRPr="00CF5EC1">
        <w:rPr>
          <w:rFonts w:ascii="Times New Roman" w:hAnsi="Times New Roman" w:cs="Times New Roman"/>
        </w:rPr>
        <w:t xml:space="preserve"> 2-3 </w:t>
      </w:r>
      <w:r>
        <w:rPr>
          <w:rFonts w:ascii="Times New Roman" w:hAnsi="Times New Roman" w:cs="Times New Roman"/>
        </w:rPr>
        <w:t>Minuten</w:t>
      </w:r>
      <w:r w:rsidR="003064C3" w:rsidRPr="00CF5EC1">
        <w:rPr>
          <w:rFonts w:ascii="Times New Roman" w:hAnsi="Times New Roman" w:cs="Times New Roman"/>
        </w:rPr>
        <w:t>.</w:t>
      </w:r>
    </w:p>
    <w:p w:rsidR="003064C3" w:rsidRPr="00CF5EC1" w:rsidRDefault="00CF5EC1" w:rsidP="003056CC">
      <w:pPr>
        <w:pStyle w:val="Listenabsatz"/>
        <w:numPr>
          <w:ilvl w:val="0"/>
          <w:numId w:val="9"/>
        </w:numPr>
        <w:rPr>
          <w:rFonts w:ascii="Times New Roman" w:hAnsi="Times New Roman" w:cs="Times New Roman"/>
        </w:rPr>
      </w:pPr>
      <w:r w:rsidRPr="00CF5EC1">
        <w:rPr>
          <w:rFonts w:ascii="Times New Roman" w:hAnsi="Times New Roman" w:cs="Times New Roman"/>
        </w:rPr>
        <w:t>Wischen Sie das Wasser anschließend weg.</w:t>
      </w:r>
    </w:p>
    <w:p w:rsidR="003056CC" w:rsidRPr="00CF5EC1" w:rsidRDefault="003056CC" w:rsidP="003056CC">
      <w:pPr>
        <w:pStyle w:val="Listenabsatz"/>
        <w:rPr>
          <w:rFonts w:ascii="Times New Roman" w:hAnsi="Times New Roman" w:cs="Times New Roman"/>
        </w:rPr>
      </w:pPr>
    </w:p>
    <w:p w:rsidR="003056CC" w:rsidRPr="00CF5EC1" w:rsidRDefault="00CF5EC1" w:rsidP="003056CC">
      <w:pPr>
        <w:pStyle w:val="Listenabsatz"/>
        <w:rPr>
          <w:rFonts w:ascii="Times New Roman" w:eastAsiaTheme="minorEastAsia" w:hAnsi="Times New Roman" w:cs="Times New Roman"/>
          <w:u w:val="single"/>
        </w:rPr>
      </w:pPr>
      <w:r w:rsidRPr="00CF5EC1">
        <w:rPr>
          <w:rFonts w:ascii="Times New Roman" w:hAnsi="Times New Roman" w:cs="Times New Roman"/>
        </w:rPr>
        <w:t>Für weitere Anleitungen zur Reinigung und Wiederherstellung verweisen wir auf die letzten Seiten der</w:t>
      </w:r>
      <w:r w:rsidR="003056CC" w:rsidRPr="00CF5EC1">
        <w:rPr>
          <w:rFonts w:ascii="Times New Roman" w:hAnsi="Times New Roman" w:cs="Times New Roman"/>
        </w:rPr>
        <w:t xml:space="preserve"> </w:t>
      </w:r>
      <w:hyperlink r:id="rId11" w:history="1">
        <w:r>
          <w:rPr>
            <w:rStyle w:val="Hyperlink"/>
            <w:rFonts w:ascii="Times New Roman" w:eastAsiaTheme="minorEastAsia" w:hAnsi="Times New Roman" w:cs="Times New Roman"/>
          </w:rPr>
          <w:t>Betriebsanleitung</w:t>
        </w:r>
      </w:hyperlink>
      <w:r w:rsidR="003056CC" w:rsidRPr="00CF5EC1">
        <w:rPr>
          <w:rFonts w:ascii="Times New Roman" w:eastAsiaTheme="minorEastAsia" w:hAnsi="Times New Roman" w:cs="Times New Roman"/>
          <w:u w:val="single"/>
        </w:rPr>
        <w:t>.</w:t>
      </w:r>
    </w:p>
    <w:p w:rsidR="00C205EA" w:rsidRPr="00CF5EC1" w:rsidRDefault="00C205EA" w:rsidP="003056CC">
      <w:pPr>
        <w:pStyle w:val="Listenabsatz"/>
        <w:rPr>
          <w:rFonts w:ascii="Times New Roman" w:eastAsiaTheme="minorEastAsia" w:hAnsi="Times New Roman" w:cs="Times New Roman"/>
          <w:u w:val="single"/>
        </w:rPr>
      </w:pPr>
    </w:p>
    <w:p w:rsidR="00C205EA" w:rsidRPr="00CF5EC1" w:rsidRDefault="00C205EA" w:rsidP="00C205EA">
      <w:pPr>
        <w:pStyle w:val="Listenabsatz"/>
        <w:ind w:left="786"/>
        <w:rPr>
          <w:rFonts w:ascii="Times New Roman" w:hAnsi="Times New Roman" w:cs="Times New Roman"/>
        </w:rPr>
      </w:pPr>
    </w:p>
    <w:p w:rsidR="00C205EA" w:rsidRPr="00CC4562" w:rsidRDefault="00CC4562" w:rsidP="00C205EA">
      <w:pPr>
        <w:pStyle w:val="Listenabsatz"/>
        <w:ind w:left="786"/>
        <w:rPr>
          <w:rFonts w:ascii="Times New Roman" w:hAnsi="Times New Roman" w:cs="Times New Roman"/>
          <w:color w:val="8DB3E2" w:themeColor="text2" w:themeTint="66"/>
          <w:u w:val="single"/>
        </w:rPr>
      </w:pPr>
      <w:r>
        <w:rPr>
          <w:rFonts w:ascii="Times New Roman" w:hAnsi="Times New Roman" w:cs="Times New Roman"/>
          <w:color w:val="8DB3E2" w:themeColor="text2" w:themeTint="66"/>
          <w:u w:val="single"/>
        </w:rPr>
        <w:t>Pufferzyklus zur Überprüfung des Geräts</w:t>
      </w:r>
      <w:r w:rsidR="00C205EA" w:rsidRPr="00CC4562">
        <w:rPr>
          <w:rFonts w:ascii="Times New Roman" w:hAnsi="Times New Roman" w:cs="Times New Roman"/>
          <w:color w:val="8DB3E2" w:themeColor="text2" w:themeTint="66"/>
          <w:u w:val="single"/>
        </w:rPr>
        <w:t>:</w:t>
      </w:r>
    </w:p>
    <w:p w:rsidR="00C205EA" w:rsidRPr="00CC4562" w:rsidRDefault="00C205EA" w:rsidP="00C205EA">
      <w:pPr>
        <w:pStyle w:val="Listenabsatz"/>
        <w:ind w:left="786"/>
        <w:rPr>
          <w:rFonts w:ascii="Times New Roman" w:hAnsi="Times New Roman" w:cs="Times New Roman"/>
          <w:color w:val="8DB3E2" w:themeColor="text2" w:themeTint="66"/>
          <w:u w:val="single"/>
        </w:rPr>
      </w:pPr>
    </w:p>
    <w:p w:rsidR="00C205EA" w:rsidRDefault="00CC4562" w:rsidP="00C205EA">
      <w:pPr>
        <w:pStyle w:val="Listenabsatz"/>
        <w:ind w:left="786"/>
        <w:rPr>
          <w:rFonts w:ascii="Times New Roman" w:hAnsi="Times New Roman" w:cs="Times New Roman"/>
          <w:lang w:val="en-US"/>
        </w:rPr>
      </w:pPr>
      <w:r w:rsidRPr="00CC4562">
        <w:rPr>
          <w:rFonts w:ascii="Times New Roman" w:hAnsi="Times New Roman" w:cs="Times New Roman"/>
        </w:rPr>
        <w:t>Es wird allgemein empfohlen mehrere Messungen mit der Pufferlösung durchzuführen.</w:t>
      </w:r>
      <w:r w:rsidR="00C205EA" w:rsidRPr="00CC4562">
        <w:rPr>
          <w:rFonts w:ascii="Times New Roman" w:hAnsi="Times New Roman" w:cs="Times New Roman"/>
        </w:rPr>
        <w:t xml:space="preserve"> </w:t>
      </w:r>
      <w:r w:rsidRPr="00CC4562">
        <w:rPr>
          <w:rFonts w:ascii="Times New Roman" w:hAnsi="Times New Roman" w:cs="Times New Roman"/>
        </w:rPr>
        <w:t>Dies dient als Bestätigung der Messungen und schließt Einflüsse durch getrocknete Proben aus anderen Messungen aus.</w:t>
      </w:r>
      <w:r w:rsidR="00C205EA" w:rsidRPr="00CC45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Gehen Sie für einen Pufferzyklus wie folgt vor:</w:t>
      </w:r>
    </w:p>
    <w:p w:rsidR="00C205EA" w:rsidRPr="008C04F0" w:rsidRDefault="00C205EA" w:rsidP="00C205EA">
      <w:pPr>
        <w:pStyle w:val="Listenabsatz"/>
        <w:ind w:left="786"/>
        <w:rPr>
          <w:rFonts w:ascii="Times New Roman" w:hAnsi="Times New Roman" w:cs="Times New Roman"/>
          <w:lang w:val="en-US"/>
        </w:rPr>
      </w:pPr>
    </w:p>
    <w:p w:rsidR="00C205EA" w:rsidRPr="00CC4562" w:rsidRDefault="0045106B" w:rsidP="00C205EA">
      <w:pPr>
        <w:pStyle w:val="Listenabsatz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</w:t>
      </w:r>
      <w:r w:rsidR="00CC4562" w:rsidRPr="00CC4562">
        <w:rPr>
          <w:rFonts w:ascii="Times New Roman" w:hAnsi="Times New Roman" w:cs="Times New Roman"/>
        </w:rPr>
        <w:t>gen Sie etwas Pufferlösung an und senken Sie den Hebel des Instruments.</w:t>
      </w:r>
    </w:p>
    <w:p w:rsidR="00C205EA" w:rsidRPr="00CC4562" w:rsidRDefault="00C205EA" w:rsidP="00C205EA">
      <w:pPr>
        <w:pStyle w:val="Listenabsatz"/>
        <w:rPr>
          <w:rFonts w:ascii="Times New Roman" w:hAnsi="Times New Roman" w:cs="Times New Roman"/>
        </w:rPr>
      </w:pPr>
    </w:p>
    <w:p w:rsidR="00C205EA" w:rsidRPr="00CC4562" w:rsidRDefault="00CC4562" w:rsidP="00C205EA">
      <w:pPr>
        <w:pStyle w:val="Listenabsatz"/>
        <w:numPr>
          <w:ilvl w:val="0"/>
          <w:numId w:val="7"/>
        </w:numPr>
        <w:rPr>
          <w:rFonts w:ascii="Times New Roman" w:hAnsi="Times New Roman" w:cs="Times New Roman"/>
        </w:rPr>
      </w:pPr>
      <w:r w:rsidRPr="00CC4562">
        <w:rPr>
          <w:rFonts w:ascii="Times New Roman" w:hAnsi="Times New Roman" w:cs="Times New Roman"/>
        </w:rPr>
        <w:t>Drücken Sie den “</w:t>
      </w:r>
      <w:r w:rsidR="00C205EA" w:rsidRPr="00CC4562">
        <w:rPr>
          <w:rFonts w:ascii="Times New Roman" w:hAnsi="Times New Roman" w:cs="Times New Roman"/>
        </w:rPr>
        <w:t>Blank</w:t>
      </w:r>
      <w:r w:rsidRPr="00CC4562">
        <w:rPr>
          <w:rFonts w:ascii="Times New Roman" w:hAnsi="Times New Roman" w:cs="Times New Roman"/>
        </w:rPr>
        <w:t>” Knopf um eine Referenz der Pufferlösung abzuspeichern.</w:t>
      </w:r>
    </w:p>
    <w:p w:rsidR="00C205EA" w:rsidRPr="00CC4562" w:rsidRDefault="00C205EA" w:rsidP="00C205EA">
      <w:pPr>
        <w:pStyle w:val="Listenabsatz"/>
        <w:rPr>
          <w:rFonts w:ascii="Times New Roman" w:hAnsi="Times New Roman" w:cs="Times New Roman"/>
        </w:rPr>
      </w:pPr>
    </w:p>
    <w:p w:rsidR="00C205EA" w:rsidRPr="00931421" w:rsidRDefault="00CC4562" w:rsidP="00C205EA">
      <w:pPr>
        <w:pStyle w:val="Listenabsatz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Tragen Sie erneut etwas Pufferlösung auf und betätigen Sie den „</w:t>
      </w:r>
      <w:proofErr w:type="spellStart"/>
      <w:r>
        <w:rPr>
          <w:rFonts w:ascii="Times New Roman" w:hAnsi="Times New Roman" w:cs="Times New Roman"/>
        </w:rPr>
        <w:t>Measure</w:t>
      </w:r>
      <w:proofErr w:type="spellEnd"/>
      <w:r>
        <w:rPr>
          <w:rFonts w:ascii="Times New Roman" w:hAnsi="Times New Roman" w:cs="Times New Roman"/>
        </w:rPr>
        <w:t xml:space="preserve">“ Knopf um den Puffer wie eine Probe zu analysieren. </w:t>
      </w:r>
      <w:r w:rsidR="00931421">
        <w:rPr>
          <w:rFonts w:ascii="Times New Roman" w:hAnsi="Times New Roman" w:cs="Times New Roman"/>
        </w:rPr>
        <w:t xml:space="preserve">Das resultierende Spektrum sollte nun nicht mehr als </w:t>
      </w:r>
      <w:r w:rsidR="00C205EA" w:rsidRPr="00931421">
        <w:rPr>
          <w:rFonts w:ascii="Times New Roman" w:hAnsi="Times New Roman" w:cs="Times New Roman"/>
        </w:rPr>
        <w:t>0.04 A</w:t>
      </w:r>
      <w:r w:rsidR="00931421">
        <w:rPr>
          <w:rFonts w:ascii="Times New Roman" w:hAnsi="Times New Roman" w:cs="Times New Roman"/>
        </w:rPr>
        <w:t xml:space="preserve"> von der Referenz abweichen</w:t>
      </w:r>
      <w:r w:rsidR="00C205EA" w:rsidRPr="00931421">
        <w:rPr>
          <w:rFonts w:ascii="Times New Roman" w:hAnsi="Times New Roman" w:cs="Times New Roman"/>
        </w:rPr>
        <w:t xml:space="preserve"> (</w:t>
      </w:r>
      <w:r w:rsidR="00931421">
        <w:rPr>
          <w:rFonts w:ascii="Times New Roman" w:hAnsi="Times New Roman" w:cs="Times New Roman"/>
        </w:rPr>
        <w:t xml:space="preserve">für eine </w:t>
      </w:r>
      <w:r w:rsidR="0045106B">
        <w:rPr>
          <w:rFonts w:ascii="Times New Roman" w:hAnsi="Times New Roman" w:cs="Times New Roman"/>
        </w:rPr>
        <w:t>Absorption</w:t>
      </w:r>
      <w:r w:rsidR="00931421">
        <w:rPr>
          <w:rFonts w:ascii="Times New Roman" w:hAnsi="Times New Roman" w:cs="Times New Roman"/>
        </w:rPr>
        <w:t xml:space="preserve"> bei </w:t>
      </w:r>
      <w:r w:rsidR="00C205EA" w:rsidRPr="00931421">
        <w:rPr>
          <w:rFonts w:ascii="Times New Roman" w:hAnsi="Times New Roman" w:cs="Times New Roman"/>
        </w:rPr>
        <w:t xml:space="preserve">10 mm </w:t>
      </w:r>
      <w:r w:rsidR="00931421">
        <w:rPr>
          <w:rFonts w:ascii="Times New Roman" w:hAnsi="Times New Roman" w:cs="Times New Roman"/>
        </w:rPr>
        <w:t>Pfadlänge</w:t>
      </w:r>
      <w:r w:rsidR="00C205EA" w:rsidRPr="00931421">
        <w:rPr>
          <w:rFonts w:ascii="Times New Roman" w:hAnsi="Times New Roman" w:cs="Times New Roman"/>
        </w:rPr>
        <w:t>).</w:t>
      </w:r>
    </w:p>
    <w:p w:rsidR="00C205EA" w:rsidRPr="00931421" w:rsidRDefault="00C205EA" w:rsidP="00C205EA">
      <w:pPr>
        <w:pStyle w:val="Listenabsatz"/>
        <w:rPr>
          <w:rFonts w:ascii="Times New Roman" w:hAnsi="Times New Roman" w:cs="Times New Roman"/>
        </w:rPr>
      </w:pPr>
    </w:p>
    <w:p w:rsidR="00C205EA" w:rsidRPr="00931421" w:rsidRDefault="00931421" w:rsidP="00C205EA">
      <w:pPr>
        <w:pStyle w:val="Listenabsatz"/>
        <w:numPr>
          <w:ilvl w:val="0"/>
          <w:numId w:val="7"/>
        </w:numPr>
        <w:rPr>
          <w:rFonts w:ascii="Times New Roman" w:hAnsi="Times New Roman" w:cs="Times New Roman"/>
        </w:rPr>
      </w:pPr>
      <w:r w:rsidRPr="00931421">
        <w:rPr>
          <w:rFonts w:ascii="Times New Roman" w:hAnsi="Times New Roman" w:cs="Times New Roman"/>
        </w:rPr>
        <w:t xml:space="preserve">Wiederholen Sie </w:t>
      </w:r>
      <w:r>
        <w:rPr>
          <w:rFonts w:ascii="Times New Roman" w:hAnsi="Times New Roman" w:cs="Times New Roman"/>
        </w:rPr>
        <w:t xml:space="preserve">den Pufferzyklus </w:t>
      </w:r>
      <w:r w:rsidRPr="00931421">
        <w:rPr>
          <w:rFonts w:ascii="Times New Roman" w:hAnsi="Times New Roman" w:cs="Times New Roman"/>
        </w:rPr>
        <w:t>gegebenenfalls</w:t>
      </w:r>
      <w:r>
        <w:rPr>
          <w:rFonts w:ascii="Times New Roman" w:hAnsi="Times New Roman" w:cs="Times New Roman"/>
        </w:rPr>
        <w:t xml:space="preserve"> bis sich eine Maximale Abweichung von </w:t>
      </w:r>
      <w:r w:rsidR="00C205EA" w:rsidRPr="00931421">
        <w:rPr>
          <w:rFonts w:ascii="Times New Roman" w:hAnsi="Times New Roman" w:cs="Times New Roman"/>
        </w:rPr>
        <w:t>0.04 A</w:t>
      </w:r>
      <w:r>
        <w:rPr>
          <w:rFonts w:ascii="Times New Roman" w:hAnsi="Times New Roman" w:cs="Times New Roman"/>
        </w:rPr>
        <w:t xml:space="preserve"> einstellt</w:t>
      </w:r>
      <w:r w:rsidR="00C205EA" w:rsidRPr="0093142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für eine </w:t>
      </w:r>
      <w:r w:rsidR="0045106B">
        <w:rPr>
          <w:rFonts w:ascii="Times New Roman" w:hAnsi="Times New Roman" w:cs="Times New Roman"/>
        </w:rPr>
        <w:t>Absorption</w:t>
      </w:r>
      <w:r>
        <w:rPr>
          <w:rFonts w:ascii="Times New Roman" w:hAnsi="Times New Roman" w:cs="Times New Roman"/>
        </w:rPr>
        <w:t xml:space="preserve"> bei </w:t>
      </w:r>
      <w:r w:rsidRPr="00931421">
        <w:rPr>
          <w:rFonts w:ascii="Times New Roman" w:hAnsi="Times New Roman" w:cs="Times New Roman"/>
        </w:rPr>
        <w:t xml:space="preserve">10 mm </w:t>
      </w:r>
      <w:r>
        <w:rPr>
          <w:rFonts w:ascii="Times New Roman" w:hAnsi="Times New Roman" w:cs="Times New Roman"/>
        </w:rPr>
        <w:t>Pfadlänge</w:t>
      </w:r>
      <w:r w:rsidR="00C205EA" w:rsidRPr="00931421">
        <w:rPr>
          <w:rFonts w:ascii="Times New Roman" w:hAnsi="Times New Roman" w:cs="Times New Roman"/>
        </w:rPr>
        <w:t>).</w:t>
      </w:r>
    </w:p>
    <w:p w:rsidR="00C205EA" w:rsidRPr="00931421" w:rsidRDefault="00C205EA" w:rsidP="00C205EA">
      <w:pPr>
        <w:pStyle w:val="Listenabsatz"/>
        <w:ind w:left="786"/>
        <w:rPr>
          <w:rFonts w:ascii="Times New Roman" w:hAnsi="Times New Roman" w:cs="Times New Roman"/>
        </w:rPr>
      </w:pPr>
    </w:p>
    <w:p w:rsidR="00C205EA" w:rsidRPr="00931421" w:rsidRDefault="00931421" w:rsidP="00C205EA">
      <w:pPr>
        <w:pStyle w:val="Listenabsatz"/>
        <w:ind w:left="786"/>
        <w:rPr>
          <w:rFonts w:ascii="Times New Roman" w:hAnsi="Times New Roman" w:cs="Times New Roman"/>
        </w:rPr>
      </w:pPr>
      <w:r w:rsidRPr="00931421">
        <w:rPr>
          <w:rFonts w:ascii="Times New Roman" w:hAnsi="Times New Roman" w:cs="Times New Roman"/>
        </w:rPr>
        <w:t xml:space="preserve">Auch wenn das Aufnehmen einer </w:t>
      </w:r>
      <w:r w:rsidR="0045106B" w:rsidRPr="00931421">
        <w:rPr>
          <w:rFonts w:ascii="Times New Roman" w:hAnsi="Times New Roman" w:cs="Times New Roman"/>
        </w:rPr>
        <w:t>Referenz</w:t>
      </w:r>
      <w:r w:rsidRPr="00931421">
        <w:rPr>
          <w:rFonts w:ascii="Times New Roman" w:hAnsi="Times New Roman" w:cs="Times New Roman"/>
        </w:rPr>
        <w:t xml:space="preserve"> (“Blank”) zwischen zwei Messungen nicht zwingend </w:t>
      </w:r>
      <w:r w:rsidR="0045106B" w:rsidRPr="00931421">
        <w:rPr>
          <w:rFonts w:ascii="Times New Roman" w:hAnsi="Times New Roman" w:cs="Times New Roman"/>
        </w:rPr>
        <w:t>notwendig</w:t>
      </w:r>
      <w:r w:rsidR="0045106B">
        <w:rPr>
          <w:rFonts w:ascii="Times New Roman" w:hAnsi="Times New Roman" w:cs="Times New Roman"/>
        </w:rPr>
        <w:t xml:space="preserve"> ist, sollte dies</w:t>
      </w:r>
      <w:r w:rsidRPr="00931421">
        <w:rPr>
          <w:rFonts w:ascii="Times New Roman" w:hAnsi="Times New Roman" w:cs="Times New Roman"/>
        </w:rPr>
        <w:t xml:space="preserve"> zumindest alle 30 Minuten vorgenommen werden.</w:t>
      </w:r>
    </w:p>
    <w:p w:rsidR="00C205EA" w:rsidRPr="00931421" w:rsidRDefault="00C205EA" w:rsidP="003056CC">
      <w:pPr>
        <w:pStyle w:val="Listenabsatz"/>
        <w:rPr>
          <w:rFonts w:ascii="Times New Roman" w:hAnsi="Times New Roman" w:cs="Times New Roman"/>
        </w:rPr>
      </w:pPr>
    </w:p>
    <w:sectPr w:rsidR="00C205EA" w:rsidRPr="00931421" w:rsidSect="00954B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3127"/>
    <w:multiLevelType w:val="hybridMultilevel"/>
    <w:tmpl w:val="41D04FBC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F5B2F10"/>
    <w:multiLevelType w:val="hybridMultilevel"/>
    <w:tmpl w:val="C06C6888"/>
    <w:lvl w:ilvl="0" w:tplc="E592AE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B8A62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E4D1E"/>
    <w:multiLevelType w:val="hybridMultilevel"/>
    <w:tmpl w:val="7D5CA3E8"/>
    <w:lvl w:ilvl="0" w:tplc="0407000F">
      <w:start w:val="1"/>
      <w:numFmt w:val="decimal"/>
      <w:lvlText w:val="%1."/>
      <w:lvlJc w:val="left"/>
      <w:pPr>
        <w:ind w:left="1559" w:hanging="360"/>
      </w:pPr>
    </w:lvl>
    <w:lvl w:ilvl="1" w:tplc="04070019" w:tentative="1">
      <w:start w:val="1"/>
      <w:numFmt w:val="lowerLetter"/>
      <w:lvlText w:val="%2."/>
      <w:lvlJc w:val="left"/>
      <w:pPr>
        <w:ind w:left="2279" w:hanging="360"/>
      </w:pPr>
    </w:lvl>
    <w:lvl w:ilvl="2" w:tplc="0407001B" w:tentative="1">
      <w:start w:val="1"/>
      <w:numFmt w:val="lowerRoman"/>
      <w:lvlText w:val="%3."/>
      <w:lvlJc w:val="right"/>
      <w:pPr>
        <w:ind w:left="2999" w:hanging="180"/>
      </w:pPr>
    </w:lvl>
    <w:lvl w:ilvl="3" w:tplc="0407000F" w:tentative="1">
      <w:start w:val="1"/>
      <w:numFmt w:val="decimal"/>
      <w:lvlText w:val="%4."/>
      <w:lvlJc w:val="left"/>
      <w:pPr>
        <w:ind w:left="3719" w:hanging="360"/>
      </w:pPr>
    </w:lvl>
    <w:lvl w:ilvl="4" w:tplc="04070019" w:tentative="1">
      <w:start w:val="1"/>
      <w:numFmt w:val="lowerLetter"/>
      <w:lvlText w:val="%5."/>
      <w:lvlJc w:val="left"/>
      <w:pPr>
        <w:ind w:left="4439" w:hanging="360"/>
      </w:pPr>
    </w:lvl>
    <w:lvl w:ilvl="5" w:tplc="0407001B" w:tentative="1">
      <w:start w:val="1"/>
      <w:numFmt w:val="lowerRoman"/>
      <w:lvlText w:val="%6."/>
      <w:lvlJc w:val="right"/>
      <w:pPr>
        <w:ind w:left="5159" w:hanging="180"/>
      </w:pPr>
    </w:lvl>
    <w:lvl w:ilvl="6" w:tplc="0407000F" w:tentative="1">
      <w:start w:val="1"/>
      <w:numFmt w:val="decimal"/>
      <w:lvlText w:val="%7."/>
      <w:lvlJc w:val="left"/>
      <w:pPr>
        <w:ind w:left="5879" w:hanging="360"/>
      </w:pPr>
    </w:lvl>
    <w:lvl w:ilvl="7" w:tplc="04070019" w:tentative="1">
      <w:start w:val="1"/>
      <w:numFmt w:val="lowerLetter"/>
      <w:lvlText w:val="%8."/>
      <w:lvlJc w:val="left"/>
      <w:pPr>
        <w:ind w:left="6599" w:hanging="360"/>
      </w:pPr>
    </w:lvl>
    <w:lvl w:ilvl="8" w:tplc="0407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">
    <w:nsid w:val="26F95BE3"/>
    <w:multiLevelType w:val="hybridMultilevel"/>
    <w:tmpl w:val="A6D606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D70DA"/>
    <w:multiLevelType w:val="hybridMultilevel"/>
    <w:tmpl w:val="577A50AC"/>
    <w:lvl w:ilvl="0" w:tplc="0407000F">
      <w:start w:val="1"/>
      <w:numFmt w:val="decimal"/>
      <w:lvlText w:val="%1."/>
      <w:lvlJc w:val="left"/>
      <w:pPr>
        <w:ind w:left="1506" w:hanging="360"/>
      </w:pPr>
    </w:lvl>
    <w:lvl w:ilvl="1" w:tplc="04070019">
      <w:start w:val="1"/>
      <w:numFmt w:val="lowerLetter"/>
      <w:lvlText w:val="%2."/>
      <w:lvlJc w:val="left"/>
      <w:pPr>
        <w:ind w:left="2226" w:hanging="360"/>
      </w:pPr>
    </w:lvl>
    <w:lvl w:ilvl="2" w:tplc="0407001B" w:tentative="1">
      <w:start w:val="1"/>
      <w:numFmt w:val="lowerRoman"/>
      <w:lvlText w:val="%3."/>
      <w:lvlJc w:val="right"/>
      <w:pPr>
        <w:ind w:left="2946" w:hanging="180"/>
      </w:pPr>
    </w:lvl>
    <w:lvl w:ilvl="3" w:tplc="0407000F" w:tentative="1">
      <w:start w:val="1"/>
      <w:numFmt w:val="decimal"/>
      <w:lvlText w:val="%4."/>
      <w:lvlJc w:val="left"/>
      <w:pPr>
        <w:ind w:left="3666" w:hanging="360"/>
      </w:pPr>
    </w:lvl>
    <w:lvl w:ilvl="4" w:tplc="04070019" w:tentative="1">
      <w:start w:val="1"/>
      <w:numFmt w:val="lowerLetter"/>
      <w:lvlText w:val="%5."/>
      <w:lvlJc w:val="left"/>
      <w:pPr>
        <w:ind w:left="4386" w:hanging="360"/>
      </w:pPr>
    </w:lvl>
    <w:lvl w:ilvl="5" w:tplc="0407001B" w:tentative="1">
      <w:start w:val="1"/>
      <w:numFmt w:val="lowerRoman"/>
      <w:lvlText w:val="%6."/>
      <w:lvlJc w:val="right"/>
      <w:pPr>
        <w:ind w:left="5106" w:hanging="180"/>
      </w:pPr>
    </w:lvl>
    <w:lvl w:ilvl="6" w:tplc="0407000F" w:tentative="1">
      <w:start w:val="1"/>
      <w:numFmt w:val="decimal"/>
      <w:lvlText w:val="%7."/>
      <w:lvlJc w:val="left"/>
      <w:pPr>
        <w:ind w:left="5826" w:hanging="360"/>
      </w:pPr>
    </w:lvl>
    <w:lvl w:ilvl="7" w:tplc="04070019" w:tentative="1">
      <w:start w:val="1"/>
      <w:numFmt w:val="lowerLetter"/>
      <w:lvlText w:val="%8."/>
      <w:lvlJc w:val="left"/>
      <w:pPr>
        <w:ind w:left="6546" w:hanging="360"/>
      </w:pPr>
    </w:lvl>
    <w:lvl w:ilvl="8" w:tplc="040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37E20E78"/>
    <w:multiLevelType w:val="hybridMultilevel"/>
    <w:tmpl w:val="77DE20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F7619"/>
    <w:multiLevelType w:val="hybridMultilevel"/>
    <w:tmpl w:val="F75E61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C5164"/>
    <w:multiLevelType w:val="hybridMultilevel"/>
    <w:tmpl w:val="5EC4E472"/>
    <w:lvl w:ilvl="0" w:tplc="0407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F7F12CE"/>
    <w:multiLevelType w:val="hybridMultilevel"/>
    <w:tmpl w:val="3096397A"/>
    <w:lvl w:ilvl="0" w:tplc="0407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>
    <w:nsid w:val="6B8D5AFC"/>
    <w:multiLevelType w:val="hybridMultilevel"/>
    <w:tmpl w:val="BB02F10E"/>
    <w:lvl w:ilvl="0" w:tplc="0720BC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3026A"/>
    <w:multiLevelType w:val="hybridMultilevel"/>
    <w:tmpl w:val="89027632"/>
    <w:lvl w:ilvl="0" w:tplc="DA1E3558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5886"/>
    <w:rsid w:val="00000433"/>
    <w:rsid w:val="0016636F"/>
    <w:rsid w:val="001B5134"/>
    <w:rsid w:val="002037CA"/>
    <w:rsid w:val="00221FF9"/>
    <w:rsid w:val="00296E7D"/>
    <w:rsid w:val="002C314C"/>
    <w:rsid w:val="003056CC"/>
    <w:rsid w:val="003064C3"/>
    <w:rsid w:val="00321C88"/>
    <w:rsid w:val="003458AB"/>
    <w:rsid w:val="00376F0F"/>
    <w:rsid w:val="003B2F0C"/>
    <w:rsid w:val="003C6D13"/>
    <w:rsid w:val="0045106B"/>
    <w:rsid w:val="004B5886"/>
    <w:rsid w:val="00595A9C"/>
    <w:rsid w:val="005D3CB8"/>
    <w:rsid w:val="00663196"/>
    <w:rsid w:val="00830B8A"/>
    <w:rsid w:val="008B052C"/>
    <w:rsid w:val="008C04F0"/>
    <w:rsid w:val="00931421"/>
    <w:rsid w:val="00954BC0"/>
    <w:rsid w:val="009B1A3E"/>
    <w:rsid w:val="00A56342"/>
    <w:rsid w:val="00A56A48"/>
    <w:rsid w:val="00A74F28"/>
    <w:rsid w:val="00AC7D54"/>
    <w:rsid w:val="00BF0B2D"/>
    <w:rsid w:val="00C205EA"/>
    <w:rsid w:val="00CC4562"/>
    <w:rsid w:val="00CF5EC1"/>
    <w:rsid w:val="00D379DE"/>
    <w:rsid w:val="00D53DB0"/>
    <w:rsid w:val="00DF1EFF"/>
    <w:rsid w:val="00E46C0B"/>
    <w:rsid w:val="00E53307"/>
    <w:rsid w:val="00E76289"/>
    <w:rsid w:val="00F4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4B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588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46C0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C0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056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588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46C0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C0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056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icob.sinica.edu.tw/pubweb/Core%20Facilities/Data/R401-core/NanoDrop%202000%20User%20Manual.pdf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icob.sinica.edu.tw/pubweb/Core%20Facilities/Data/R401-core/NanoDrop%202000%20User%20Manual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 Heigl</dc:creator>
  <cp:lastModifiedBy>Connie Hesse</cp:lastModifiedBy>
  <cp:revision>2</cp:revision>
  <dcterms:created xsi:type="dcterms:W3CDTF">2014-05-27T18:28:00Z</dcterms:created>
  <dcterms:modified xsi:type="dcterms:W3CDTF">2014-05-27T18:28:00Z</dcterms:modified>
</cp:coreProperties>
</file>